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B94" w:rsidRDefault="00224B94" w:rsidP="00071CB3">
      <w:pPr>
        <w:spacing w:after="0" w:line="240" w:lineRule="auto"/>
        <w:jc w:val="center"/>
      </w:pPr>
      <w:r>
        <w:t>American Accounting Association</w:t>
      </w:r>
    </w:p>
    <w:p w:rsidR="00224B94" w:rsidRDefault="00224B94" w:rsidP="00071CB3">
      <w:pPr>
        <w:spacing w:after="0" w:line="240" w:lineRule="auto"/>
        <w:jc w:val="center"/>
      </w:pPr>
      <w:r>
        <w:t>Strategic and Emerging Technologies Section</w:t>
      </w:r>
    </w:p>
    <w:p w:rsidR="00224B94" w:rsidRDefault="00224B94" w:rsidP="00071CB3">
      <w:pPr>
        <w:spacing w:after="0" w:line="240" w:lineRule="auto"/>
        <w:jc w:val="center"/>
      </w:pPr>
      <w:r>
        <w:t>Minutes of the Annual Business Meeting</w:t>
      </w:r>
    </w:p>
    <w:p w:rsidR="00224B94" w:rsidRDefault="00224B94" w:rsidP="00071CB3">
      <w:pPr>
        <w:spacing w:after="0" w:line="240" w:lineRule="auto"/>
        <w:jc w:val="center"/>
      </w:pPr>
      <w:r>
        <w:t>Liberty Room, Hilton New York, NY, NY</w:t>
      </w:r>
    </w:p>
    <w:p w:rsidR="00224B94" w:rsidRDefault="00224B94" w:rsidP="00071CB3">
      <w:pPr>
        <w:spacing w:after="0" w:line="240" w:lineRule="auto"/>
        <w:jc w:val="center"/>
      </w:pPr>
      <w:r>
        <w:t xml:space="preserve">August 3, 2009 </w:t>
      </w:r>
    </w:p>
    <w:p w:rsidR="00DB7EE9" w:rsidRDefault="00DB7EE9" w:rsidP="00071CB3">
      <w:pPr>
        <w:spacing w:after="0" w:line="240" w:lineRule="auto"/>
        <w:jc w:val="center"/>
      </w:pPr>
    </w:p>
    <w:p w:rsidR="00DB7EE9" w:rsidRDefault="00DB7EE9" w:rsidP="00DB7EE9">
      <w:pPr>
        <w:spacing w:after="0" w:line="240" w:lineRule="auto"/>
      </w:pPr>
      <w:r>
        <w:t>Opening: The Annual Business Meeting of the Strategic and Emerging Technologies Section was called to order at 2:10 pm on August 3, 2009 in the Liberty Room of the Hilton New York, NY, NY by President Roger Debreceny.</w:t>
      </w:r>
    </w:p>
    <w:p w:rsidR="00F66152" w:rsidRDefault="00F66152" w:rsidP="00DB7EE9">
      <w:pPr>
        <w:spacing w:after="0" w:line="240" w:lineRule="auto"/>
      </w:pPr>
    </w:p>
    <w:p w:rsidR="00F66152" w:rsidRDefault="00F66152" w:rsidP="00DB7EE9">
      <w:pPr>
        <w:spacing w:after="0" w:line="240" w:lineRule="auto"/>
      </w:pPr>
      <w:r>
        <w:t xml:space="preserve">Present:  </w:t>
      </w:r>
    </w:p>
    <w:p w:rsidR="00F66152" w:rsidRDefault="00F66152" w:rsidP="00DB7EE9">
      <w:pPr>
        <w:spacing w:after="0" w:line="240" w:lineRule="auto"/>
      </w:pPr>
      <w:r>
        <w:t>President Roger Debreceny and 35 members of the SET Section were present.</w:t>
      </w:r>
    </w:p>
    <w:p w:rsidR="00DB7EE9" w:rsidRDefault="00DB7EE9" w:rsidP="00DB7EE9">
      <w:pPr>
        <w:spacing w:after="0" w:line="240" w:lineRule="auto"/>
      </w:pPr>
    </w:p>
    <w:p w:rsidR="00DB7EE9" w:rsidRPr="0032409A" w:rsidRDefault="00DB7EE9" w:rsidP="00DB7EE9">
      <w:pPr>
        <w:spacing w:after="0" w:line="240" w:lineRule="auto"/>
        <w:rPr>
          <w:b/>
          <w:sz w:val="24"/>
          <w:szCs w:val="24"/>
        </w:rPr>
      </w:pPr>
      <w:r w:rsidRPr="0032409A">
        <w:rPr>
          <w:b/>
          <w:sz w:val="24"/>
          <w:szCs w:val="24"/>
        </w:rPr>
        <w:t>Presidents Report:</w:t>
      </w:r>
      <w:r w:rsidR="008E4BE9" w:rsidRPr="0032409A">
        <w:rPr>
          <w:b/>
          <w:sz w:val="24"/>
          <w:szCs w:val="24"/>
        </w:rPr>
        <w:t xml:space="preserve"> Presented by current President Roger Debreceny.</w:t>
      </w:r>
    </w:p>
    <w:p w:rsidR="0032409A" w:rsidRDefault="0032409A" w:rsidP="00DB7EE9">
      <w:pPr>
        <w:spacing w:after="0" w:line="240" w:lineRule="auto"/>
      </w:pPr>
    </w:p>
    <w:p w:rsidR="0032409A" w:rsidRDefault="00DB7EE9" w:rsidP="00DB7EE9">
      <w:pPr>
        <w:spacing w:after="0" w:line="240" w:lineRule="auto"/>
      </w:pPr>
      <w:r>
        <w:t xml:space="preserve">Financial Foundation: </w:t>
      </w:r>
    </w:p>
    <w:p w:rsidR="00DB7EE9" w:rsidRDefault="00DB7EE9" w:rsidP="00DB7EE9">
      <w:pPr>
        <w:spacing w:after="0" w:line="240" w:lineRule="auto"/>
      </w:pPr>
      <w:r>
        <w:t xml:space="preserve"> Roger Debreceny indicated that the section would be destitute if current spending </w:t>
      </w:r>
      <w:r w:rsidR="006D73B1">
        <w:t xml:space="preserve">levels were continued.  In order to meet current financial needs some external funding was sought.  Bob </w:t>
      </w:r>
      <w:proofErr w:type="spellStart"/>
      <w:r w:rsidR="006D73B1">
        <w:t>Cu</w:t>
      </w:r>
      <w:r w:rsidR="00D412E8">
        <w:t>th</w:t>
      </w:r>
      <w:r w:rsidR="006D73B1">
        <w:t>bertson</w:t>
      </w:r>
      <w:proofErr w:type="spellEnd"/>
      <w:r w:rsidR="006D73B1">
        <w:t xml:space="preserve"> from </w:t>
      </w:r>
      <w:proofErr w:type="spellStart"/>
      <w:r w:rsidR="006D73B1">
        <w:t>CaseWare</w:t>
      </w:r>
      <w:proofErr w:type="spellEnd"/>
      <w:r w:rsidR="006D73B1">
        <w:t xml:space="preserve"> Idea has committed to funding the Section for three years at $10,000 per year.  The Section was not required to make any commitments to obtain the funding except to maintain research focus of the section and to seek additional support except from firms in direct competition with </w:t>
      </w:r>
      <w:proofErr w:type="spellStart"/>
      <w:r w:rsidR="006D73B1">
        <w:t>CaseWare</w:t>
      </w:r>
      <w:proofErr w:type="spellEnd"/>
      <w:r w:rsidR="006D73B1">
        <w:t xml:space="preserve"> such as ACL.</w:t>
      </w:r>
    </w:p>
    <w:p w:rsidR="006D73B1" w:rsidRDefault="006D73B1" w:rsidP="00DB7EE9">
      <w:pPr>
        <w:spacing w:after="0" w:line="240" w:lineRule="auto"/>
      </w:pPr>
    </w:p>
    <w:p w:rsidR="006D73B1" w:rsidRDefault="006D73B1" w:rsidP="00DB7EE9">
      <w:pPr>
        <w:spacing w:after="0" w:line="240" w:lineRule="auto"/>
      </w:pPr>
      <w:r>
        <w:t>Executive Committee:</w:t>
      </w:r>
    </w:p>
    <w:p w:rsidR="006D73B1" w:rsidRDefault="008E4BE9" w:rsidP="00DB7EE9">
      <w:pPr>
        <w:spacing w:after="0" w:line="240" w:lineRule="auto"/>
      </w:pPr>
      <w:r>
        <w:t>Roger Debreceny indicated that t</w:t>
      </w:r>
      <w:r w:rsidR="006D73B1">
        <w:t xml:space="preserve">his year the Executive Committee held monthly conference calls.  </w:t>
      </w:r>
      <w:r>
        <w:t xml:space="preserve">  These conference calls were not restricted to the Executive Committee</w:t>
      </w:r>
      <w:r w:rsidR="008378D8">
        <w:t xml:space="preserve"> as the Chair</w:t>
      </w:r>
      <w:r w:rsidR="00D412E8">
        <w:t>s</w:t>
      </w:r>
      <w:r w:rsidR="008378D8">
        <w:t xml:space="preserve"> of the Research </w:t>
      </w:r>
      <w:r w:rsidR="00D412E8">
        <w:t>C</w:t>
      </w:r>
      <w:r w:rsidR="008378D8">
        <w:t>ommittee</w:t>
      </w:r>
      <w:r w:rsidR="00D412E8">
        <w:t xml:space="preserve"> and Education Committee</w:t>
      </w:r>
      <w:r w:rsidR="008378D8">
        <w:t xml:space="preserve"> attended when necessary.  Roger Debreceny indicated that these conference calls seem to have increased the productivity of the Executive Committee.</w:t>
      </w:r>
      <w:r w:rsidR="008942C9">
        <w:t xml:space="preserve">  </w:t>
      </w:r>
    </w:p>
    <w:p w:rsidR="008942C9" w:rsidRDefault="008942C9" w:rsidP="00DB7EE9">
      <w:pPr>
        <w:spacing w:after="0" w:line="240" w:lineRule="auto"/>
      </w:pPr>
    </w:p>
    <w:p w:rsidR="008942C9" w:rsidRDefault="008942C9" w:rsidP="00DB7EE9">
      <w:pPr>
        <w:spacing w:after="0" w:line="240" w:lineRule="auto"/>
      </w:pPr>
      <w:r>
        <w:t>Education and Research Initiatives:</w:t>
      </w:r>
    </w:p>
    <w:p w:rsidR="00B65EAE" w:rsidRDefault="0032409A" w:rsidP="00DB7EE9">
      <w:pPr>
        <w:spacing w:after="0" w:line="240" w:lineRule="auto"/>
      </w:pPr>
      <w:r>
        <w:t>Roger Debreceny said that over</w:t>
      </w:r>
      <w:r w:rsidR="00EB1253">
        <w:t>all</w:t>
      </w:r>
      <w:r>
        <w:t xml:space="preserve"> the </w:t>
      </w:r>
      <w:r w:rsidR="00B65EAE">
        <w:t>charge to these committees is to pick one thing and to do it.  The emphasis of these committees should be on delivery of an agreed upon outcome.</w:t>
      </w:r>
    </w:p>
    <w:p w:rsidR="00B65EAE" w:rsidRDefault="00B65EAE" w:rsidP="00DB7EE9">
      <w:pPr>
        <w:spacing w:after="0" w:line="240" w:lineRule="auto"/>
      </w:pPr>
    </w:p>
    <w:p w:rsidR="00B65EAE" w:rsidRDefault="00B65EAE" w:rsidP="00DB7EE9">
      <w:pPr>
        <w:spacing w:after="0" w:line="240" w:lineRule="auto"/>
      </w:pPr>
      <w:r>
        <w:t>Mid-Year Meeting:</w:t>
      </w:r>
    </w:p>
    <w:p w:rsidR="00B65EAE" w:rsidRDefault="00B65EAE" w:rsidP="00DB7EE9">
      <w:pPr>
        <w:spacing w:after="0" w:line="240" w:lineRule="auto"/>
      </w:pPr>
      <w:r>
        <w:t>Again the Mid-Year meeting will be held in cooperation with the Information Systems Section, January 6-9, 2010 in Clearwater Beach, Florida.  The Strategic and Emerging Section intends to run two</w:t>
      </w:r>
      <w:r w:rsidR="00EB1253">
        <w:t xml:space="preserve"> </w:t>
      </w:r>
      <w:r>
        <w:t>(2) or three</w:t>
      </w:r>
      <w:r w:rsidR="00EB1253">
        <w:t xml:space="preserve"> </w:t>
      </w:r>
      <w:r>
        <w:t xml:space="preserve">(3) sessions at the meeting.  The Section will be embedding people into the IS meeting structure to ensure the coordination.  </w:t>
      </w:r>
      <w:r w:rsidR="00E40F3D">
        <w:t>Graham Gal</w:t>
      </w:r>
      <w:r>
        <w:t xml:space="preserve"> will chair the SET section’s efforts for the meeting</w:t>
      </w:r>
      <w:r w:rsidR="00E40F3D">
        <w:t>.  Richard Dull</w:t>
      </w:r>
      <w:r w:rsidR="00D412E8">
        <w:t>, past SET president is chairing the 2010 Mid-Year meeting for the IS Section so the coordination should be smooth.</w:t>
      </w:r>
    </w:p>
    <w:p w:rsidR="00A67309" w:rsidRDefault="00A67309" w:rsidP="00DB7EE9">
      <w:pPr>
        <w:spacing w:after="0" w:line="240" w:lineRule="auto"/>
      </w:pPr>
    </w:p>
    <w:p w:rsidR="00A67309" w:rsidRDefault="00A67309" w:rsidP="00DB7EE9">
      <w:pPr>
        <w:spacing w:after="0" w:line="240" w:lineRule="auto"/>
      </w:pPr>
      <w:r>
        <w:t>Workshop:</w:t>
      </w:r>
    </w:p>
    <w:p w:rsidR="00A67309" w:rsidRDefault="00A67309" w:rsidP="00DB7EE9">
      <w:pPr>
        <w:spacing w:after="0" w:line="240" w:lineRule="auto"/>
      </w:pPr>
      <w:r>
        <w:t xml:space="preserve">In the prior year the workshop was seeking suitable abstracts and that format was followed this year.  There were forty (40) abstracts submitted.  By reviewing the abstracts </w:t>
      </w:r>
      <w:r w:rsidR="008E71D5">
        <w:t xml:space="preserve">researchers were given </w:t>
      </w:r>
      <w:r>
        <w:t>a suitable timeframe for decisions about attending the workshop.</w:t>
      </w:r>
    </w:p>
    <w:p w:rsidR="00A67309" w:rsidRDefault="00A67309" w:rsidP="00DB7EE9">
      <w:pPr>
        <w:spacing w:after="0" w:line="240" w:lineRule="auto"/>
      </w:pPr>
    </w:p>
    <w:p w:rsidR="00A67309" w:rsidRDefault="00A67309" w:rsidP="00DB7EE9">
      <w:pPr>
        <w:spacing w:after="0" w:line="240" w:lineRule="auto"/>
      </w:pPr>
      <w:r>
        <w:t>Podcasts:</w:t>
      </w:r>
    </w:p>
    <w:p w:rsidR="0032409A" w:rsidRDefault="00A67309" w:rsidP="00DB7EE9">
      <w:pPr>
        <w:spacing w:after="0" w:line="240" w:lineRule="auto"/>
      </w:pPr>
      <w:r>
        <w:lastRenderedPageBreak/>
        <w:t xml:space="preserve">There was a discussion on how to communicate relevant content to Section members.  Webcasts and webinars were </w:t>
      </w:r>
      <w:r w:rsidR="00225B52">
        <w:t>considered, the choice was to use Podcasts as the model.  Currently there are three (3) available on the Section website.  Stephanie Farewell is working on podcast ideas.  Roger Debreceny indicated that people would l</w:t>
      </w:r>
      <w:r w:rsidR="00955183">
        <w:t>i</w:t>
      </w:r>
      <w:r w:rsidR="00D8778A">
        <w:t>ke transcripts of the podcasts and a fee has been paid to get the transcripts completed</w:t>
      </w:r>
      <w:r w:rsidR="00225B52">
        <w:t xml:space="preserve">.  Roger Debreceny also indicated that Nancy </w:t>
      </w:r>
      <w:proofErr w:type="spellStart"/>
      <w:r w:rsidR="00225B52">
        <w:t>Bagranoff’s</w:t>
      </w:r>
      <w:proofErr w:type="spellEnd"/>
      <w:r w:rsidR="00225B52">
        <w:t xml:space="preserve"> podcast </w:t>
      </w:r>
      <w:r w:rsidR="00147BEC">
        <w:t xml:space="preserve">could be </w:t>
      </w:r>
      <w:r w:rsidR="00225B52">
        <w:t>edited.  Roger Debreceny said some suggestions for future podcasts include inte</w:t>
      </w:r>
      <w:r w:rsidR="008E4BE9">
        <w:t xml:space="preserve">rviews with noted </w:t>
      </w:r>
      <w:r w:rsidR="00225B52">
        <w:t>practitioner</w:t>
      </w:r>
      <w:r w:rsidR="008E71D5">
        <w:t>s</w:t>
      </w:r>
      <w:r w:rsidR="008E4BE9">
        <w:t>, with young researcher</w:t>
      </w:r>
      <w:r w:rsidR="008E71D5">
        <w:t>s</w:t>
      </w:r>
      <w:r w:rsidR="008E4BE9">
        <w:t>, such as past dissertation award winner</w:t>
      </w:r>
      <w:r w:rsidR="008E71D5">
        <w:t>s</w:t>
      </w:r>
      <w:r w:rsidR="008E4BE9">
        <w:t>, to discuss where they see their work going, and with the leadership of the section</w:t>
      </w:r>
      <w:r w:rsidR="00147BEC">
        <w:t xml:space="preserve"> such as incoming President Guido </w:t>
      </w:r>
      <w:proofErr w:type="spellStart"/>
      <w:r w:rsidR="00147BEC">
        <w:t>Geerts</w:t>
      </w:r>
      <w:proofErr w:type="spellEnd"/>
      <w:r w:rsidR="00147BEC">
        <w:t xml:space="preserve"> or past editor of the Section Journal </w:t>
      </w:r>
      <w:proofErr w:type="spellStart"/>
      <w:r w:rsidR="00147BEC">
        <w:t>Miklos</w:t>
      </w:r>
      <w:proofErr w:type="spellEnd"/>
      <w:r w:rsidR="00147BEC">
        <w:t xml:space="preserve"> </w:t>
      </w:r>
      <w:proofErr w:type="spellStart"/>
      <w:r w:rsidR="00147BEC">
        <w:t>Vasarhelyi</w:t>
      </w:r>
      <w:proofErr w:type="spellEnd"/>
      <w:r w:rsidR="008E4BE9">
        <w:t>.</w:t>
      </w:r>
    </w:p>
    <w:p w:rsidR="0032409A" w:rsidRDefault="0032409A" w:rsidP="00DB7EE9">
      <w:pPr>
        <w:spacing w:after="0" w:line="240" w:lineRule="auto"/>
      </w:pPr>
    </w:p>
    <w:p w:rsidR="0032409A" w:rsidRDefault="0032409A" w:rsidP="00DB7EE9">
      <w:pPr>
        <w:spacing w:after="0" w:line="240" w:lineRule="auto"/>
      </w:pPr>
      <w:r>
        <w:t>This ended the President’s report.</w:t>
      </w:r>
    </w:p>
    <w:p w:rsidR="0032409A" w:rsidRDefault="0032409A" w:rsidP="00DB7EE9">
      <w:pPr>
        <w:spacing w:after="0" w:line="240" w:lineRule="auto"/>
      </w:pPr>
    </w:p>
    <w:p w:rsidR="0032409A" w:rsidRDefault="0032409A" w:rsidP="00DB7EE9">
      <w:pPr>
        <w:spacing w:after="0" w:line="240" w:lineRule="auto"/>
      </w:pPr>
      <w:r>
        <w:t>The following resolution was made:</w:t>
      </w:r>
    </w:p>
    <w:p w:rsidR="0032409A" w:rsidRDefault="0032409A" w:rsidP="00DB7EE9">
      <w:pPr>
        <w:spacing w:after="0" w:line="240" w:lineRule="auto"/>
      </w:pPr>
      <w:r>
        <w:t xml:space="preserve">Resolved that the SET Section thank Bob </w:t>
      </w:r>
      <w:proofErr w:type="spellStart"/>
      <w:r>
        <w:t>Cuthbertson</w:t>
      </w:r>
      <w:proofErr w:type="spellEnd"/>
      <w:r>
        <w:t xml:space="preserve"> and </w:t>
      </w:r>
      <w:proofErr w:type="spellStart"/>
      <w:r>
        <w:t>CaseWare</w:t>
      </w:r>
      <w:proofErr w:type="spellEnd"/>
      <w:r>
        <w:t xml:space="preserve"> Idea for their generous support of the Section:</w:t>
      </w:r>
    </w:p>
    <w:p w:rsidR="0032409A" w:rsidRDefault="0032409A" w:rsidP="00DB7EE9">
      <w:pPr>
        <w:spacing w:after="0" w:line="240" w:lineRule="auto"/>
      </w:pPr>
      <w:r>
        <w:t>Moved: Stewart Leech</w:t>
      </w:r>
    </w:p>
    <w:p w:rsidR="0032409A" w:rsidRDefault="0032409A" w:rsidP="00DB7EE9">
      <w:pPr>
        <w:spacing w:after="0" w:line="240" w:lineRule="auto"/>
      </w:pPr>
      <w:r>
        <w:t xml:space="preserve">Seconded: Guido </w:t>
      </w:r>
      <w:proofErr w:type="spellStart"/>
      <w:r>
        <w:t>Geerts</w:t>
      </w:r>
      <w:proofErr w:type="spellEnd"/>
    </w:p>
    <w:p w:rsidR="0032409A" w:rsidRDefault="0032409A" w:rsidP="00DB7EE9">
      <w:pPr>
        <w:spacing w:after="0" w:line="240" w:lineRule="auto"/>
      </w:pPr>
      <w:r>
        <w:t>Carried: Adopted unanimously by voice vote</w:t>
      </w:r>
    </w:p>
    <w:p w:rsidR="00874960" w:rsidRDefault="00874960" w:rsidP="00DB7EE9">
      <w:pPr>
        <w:spacing w:after="0" w:line="240" w:lineRule="auto"/>
      </w:pPr>
    </w:p>
    <w:p w:rsidR="00874960" w:rsidRDefault="00874960" w:rsidP="00874960">
      <w:pPr>
        <w:spacing w:after="0" w:line="240" w:lineRule="auto"/>
        <w:jc w:val="center"/>
        <w:rPr>
          <w:b/>
          <w:sz w:val="24"/>
          <w:szCs w:val="24"/>
        </w:rPr>
      </w:pPr>
      <w:r w:rsidRPr="00874960">
        <w:rPr>
          <w:b/>
          <w:sz w:val="24"/>
          <w:szCs w:val="24"/>
        </w:rPr>
        <w:t>Approval of Minutes</w:t>
      </w:r>
    </w:p>
    <w:p w:rsidR="00874960" w:rsidRDefault="00874960" w:rsidP="00874960">
      <w:pPr>
        <w:spacing w:after="0" w:line="240" w:lineRule="auto"/>
        <w:rPr>
          <w:sz w:val="24"/>
          <w:szCs w:val="24"/>
        </w:rPr>
      </w:pPr>
    </w:p>
    <w:p w:rsidR="00874960" w:rsidRDefault="00874960" w:rsidP="00874960">
      <w:pPr>
        <w:spacing w:after="0" w:line="240" w:lineRule="auto"/>
      </w:pPr>
      <w:r w:rsidRPr="00874960">
        <w:t>The minutes</w:t>
      </w:r>
      <w:r>
        <w:t xml:space="preserve"> of the Annual Business Meeting held August 4, 2008, Anaheim, CA </w:t>
      </w:r>
      <w:proofErr w:type="gramStart"/>
      <w:r>
        <w:t>were</w:t>
      </w:r>
      <w:proofErr w:type="gramEnd"/>
      <w:r>
        <w:t xml:space="preserve"> distributed by Ingrid Fisher, Secretary/Treasurer. </w:t>
      </w:r>
      <w:r w:rsidR="007C54F5">
        <w:t xml:space="preserve"> Stewart Leech mentioned a spelling correction.  </w:t>
      </w:r>
    </w:p>
    <w:p w:rsidR="007C54F5" w:rsidRDefault="007C54F5" w:rsidP="00874960">
      <w:pPr>
        <w:spacing w:after="0" w:line="240" w:lineRule="auto"/>
      </w:pPr>
    </w:p>
    <w:p w:rsidR="007C54F5" w:rsidRDefault="007C54F5" w:rsidP="00874960">
      <w:pPr>
        <w:spacing w:after="0" w:line="240" w:lineRule="auto"/>
      </w:pPr>
      <w:r>
        <w:t>Moved: Greg Gerard moved for the minutes to be accepted with the spelling change.</w:t>
      </w:r>
    </w:p>
    <w:p w:rsidR="007C54F5" w:rsidRDefault="007C54F5" w:rsidP="00874960">
      <w:pPr>
        <w:spacing w:after="0" w:line="240" w:lineRule="auto"/>
      </w:pPr>
      <w:r>
        <w:t xml:space="preserve">Seconded: Guido </w:t>
      </w:r>
      <w:proofErr w:type="spellStart"/>
      <w:r>
        <w:t>Geerts</w:t>
      </w:r>
      <w:proofErr w:type="spellEnd"/>
    </w:p>
    <w:p w:rsidR="007C54F5" w:rsidRDefault="007C54F5" w:rsidP="00874960">
      <w:pPr>
        <w:spacing w:after="0" w:line="240" w:lineRule="auto"/>
      </w:pPr>
      <w:r>
        <w:t>Carried: Adopted unanimously.</w:t>
      </w:r>
    </w:p>
    <w:p w:rsidR="007C54F5" w:rsidRDefault="007C54F5" w:rsidP="00874960">
      <w:pPr>
        <w:spacing w:after="0" w:line="240" w:lineRule="auto"/>
      </w:pPr>
    </w:p>
    <w:p w:rsidR="007C54F5" w:rsidRPr="005F0034" w:rsidRDefault="00F40DDE" w:rsidP="00F40DDE">
      <w:pPr>
        <w:spacing w:after="0" w:line="240" w:lineRule="auto"/>
        <w:jc w:val="center"/>
        <w:rPr>
          <w:b/>
          <w:sz w:val="24"/>
          <w:szCs w:val="24"/>
        </w:rPr>
      </w:pPr>
      <w:r w:rsidRPr="005F0034">
        <w:rPr>
          <w:b/>
          <w:sz w:val="24"/>
          <w:szCs w:val="24"/>
        </w:rPr>
        <w:t>Treasurer’s Report</w:t>
      </w:r>
    </w:p>
    <w:p w:rsidR="005F0034" w:rsidRDefault="005F0034" w:rsidP="00F40DDE">
      <w:pPr>
        <w:spacing w:after="0" w:line="240" w:lineRule="auto"/>
        <w:jc w:val="center"/>
        <w:rPr>
          <w:sz w:val="24"/>
          <w:szCs w:val="24"/>
        </w:rPr>
      </w:pPr>
    </w:p>
    <w:p w:rsidR="005F0034" w:rsidRPr="005F0034" w:rsidRDefault="005F0034" w:rsidP="005F0034">
      <w:pPr>
        <w:spacing w:after="0" w:line="240" w:lineRule="auto"/>
      </w:pPr>
    </w:p>
    <w:p w:rsidR="00FA0672" w:rsidRDefault="0032409A" w:rsidP="00DB7EE9">
      <w:pPr>
        <w:spacing w:after="0" w:line="240" w:lineRule="auto"/>
      </w:pPr>
      <w:r>
        <w:t xml:space="preserve"> </w:t>
      </w:r>
      <w:r w:rsidR="005F0034">
        <w:t>Secretary/Treasurer Ingrid Fisher presented the financial position of the Section</w:t>
      </w:r>
      <w:r w:rsidR="00A6571D">
        <w:t>. She noted that over the past three years there were no major changes</w:t>
      </w:r>
      <w:r w:rsidR="005F0034">
        <w:t>.</w:t>
      </w:r>
      <w:r w:rsidR="00A6571D">
        <w:t xml:space="preserve">  The information provided from the AAA was as of June 30</w:t>
      </w:r>
      <w:r w:rsidR="00A6571D" w:rsidRPr="00A6571D">
        <w:rPr>
          <w:vertAlign w:val="superscript"/>
        </w:rPr>
        <w:t>th</w:t>
      </w:r>
      <w:r w:rsidR="00A6571D">
        <w:t>.  Rick Dull observed that the previous year’s cost for the journal was $7,000 and questioned if the $14,000 was for two years or if the costs had doubled.  Roger Debreceny reported that previously the Section was getting a benefit from the AAA to start the journal and that we were no longer getting that benefit.  He said that we are now paying full cost for the journal and that the</w:t>
      </w:r>
      <w:r w:rsidR="00D412E8">
        <w:t xml:space="preserve"> previous</w:t>
      </w:r>
      <w:r w:rsidR="00A6571D">
        <w:t xml:space="preserve"> cost for two years is no</w:t>
      </w:r>
      <w:r w:rsidR="00D412E8">
        <w:t>w</w:t>
      </w:r>
      <w:r w:rsidR="00A6571D">
        <w:t xml:space="preserve"> the cost for one year.  Peter Gillett </w:t>
      </w:r>
      <w:r w:rsidR="00FA0672">
        <w:t xml:space="preserve">asked if we are now running at a negative cash flow.  Roger Debreceny indicated that </w:t>
      </w:r>
      <w:r w:rsidR="008E71D5">
        <w:t>the Section was running at a negative cash flow.  T</w:t>
      </w:r>
      <w:r w:rsidR="00FA0672">
        <w:t xml:space="preserve">he revenues from the </w:t>
      </w:r>
      <w:r w:rsidR="008E71D5">
        <w:t xml:space="preserve">Annual Research </w:t>
      </w:r>
      <w:r w:rsidR="00FA0672">
        <w:t xml:space="preserve">workshop would make up for </w:t>
      </w:r>
      <w:r w:rsidR="008E71D5">
        <w:t>part of thi</w:t>
      </w:r>
      <w:r w:rsidR="00FA0672">
        <w:t>s</w:t>
      </w:r>
      <w:r w:rsidR="008E71D5">
        <w:t xml:space="preserve"> negative cash flow</w:t>
      </w:r>
      <w:r w:rsidR="00FA0672">
        <w:t xml:space="preserve">.  Ingrid Fisher mentioned that the statement does not include revenues from the workshop.  Rick Dull asked about plans for the journal and Roger Debreceny asked that this discussion wait for the presentation by the </w:t>
      </w:r>
      <w:r w:rsidR="00834B8F">
        <w:t>Publications</w:t>
      </w:r>
      <w:r w:rsidR="00FA0672">
        <w:t xml:space="preserve"> Committee.</w:t>
      </w:r>
    </w:p>
    <w:p w:rsidR="00FA0672" w:rsidRDefault="00FA0672" w:rsidP="00DB7EE9">
      <w:pPr>
        <w:spacing w:after="0" w:line="240" w:lineRule="auto"/>
      </w:pPr>
    </w:p>
    <w:p w:rsidR="004B7169" w:rsidRDefault="004B7169" w:rsidP="00DB7EE9">
      <w:pPr>
        <w:spacing w:after="0" w:line="240" w:lineRule="auto"/>
      </w:pPr>
      <w:r>
        <w:t>Moved:  Peter Gillett moved to accept the treasurer’s report</w:t>
      </w:r>
    </w:p>
    <w:p w:rsidR="004B7169" w:rsidRDefault="004B7169" w:rsidP="00DB7EE9">
      <w:pPr>
        <w:spacing w:after="0" w:line="240" w:lineRule="auto"/>
      </w:pPr>
      <w:r>
        <w:t>Seconded: Rick Dull</w:t>
      </w:r>
    </w:p>
    <w:p w:rsidR="004B7169" w:rsidRDefault="004B7169" w:rsidP="00DB7EE9">
      <w:pPr>
        <w:spacing w:after="0" w:line="240" w:lineRule="auto"/>
      </w:pPr>
      <w:r>
        <w:t>Carried: Adopted unanimously</w:t>
      </w:r>
    </w:p>
    <w:p w:rsidR="004B7169" w:rsidRDefault="004B7169" w:rsidP="00DB7EE9">
      <w:pPr>
        <w:spacing w:after="0" w:line="240" w:lineRule="auto"/>
      </w:pPr>
    </w:p>
    <w:p w:rsidR="00A67309" w:rsidRDefault="004B7169" w:rsidP="004B7169">
      <w:pPr>
        <w:spacing w:after="0" w:line="240" w:lineRule="auto"/>
        <w:jc w:val="center"/>
        <w:rPr>
          <w:b/>
          <w:sz w:val="24"/>
          <w:szCs w:val="24"/>
        </w:rPr>
      </w:pPr>
      <w:r w:rsidRPr="004B7169">
        <w:rPr>
          <w:b/>
          <w:sz w:val="24"/>
          <w:szCs w:val="24"/>
        </w:rPr>
        <w:t>New Officers</w:t>
      </w:r>
      <w:r w:rsidR="004E7AC5">
        <w:rPr>
          <w:b/>
          <w:sz w:val="24"/>
          <w:szCs w:val="24"/>
        </w:rPr>
        <w:t xml:space="preserve"> and Committee Appointments</w:t>
      </w:r>
      <w:r w:rsidR="00225B52" w:rsidRPr="004B7169">
        <w:rPr>
          <w:b/>
          <w:sz w:val="24"/>
          <w:szCs w:val="24"/>
        </w:rPr>
        <w:br/>
      </w:r>
    </w:p>
    <w:p w:rsidR="004B7169" w:rsidRDefault="00F94A28" w:rsidP="004B7169">
      <w:pPr>
        <w:spacing w:after="0" w:line="240" w:lineRule="auto"/>
      </w:pPr>
      <w:r>
        <w:t xml:space="preserve">Incoming Section President Guido </w:t>
      </w:r>
      <w:proofErr w:type="spellStart"/>
      <w:r>
        <w:t>Geerts</w:t>
      </w:r>
      <w:proofErr w:type="spellEnd"/>
      <w:r>
        <w:t xml:space="preserve"> presented the new officers based on the results of the election.</w:t>
      </w:r>
    </w:p>
    <w:p w:rsidR="00F94A28" w:rsidRDefault="00F94A28" w:rsidP="004B7169">
      <w:pPr>
        <w:spacing w:after="0" w:line="240" w:lineRule="auto"/>
      </w:pPr>
      <w:r>
        <w:t xml:space="preserve">President: Guido </w:t>
      </w:r>
      <w:proofErr w:type="spellStart"/>
      <w:r>
        <w:t>Geerts</w:t>
      </w:r>
      <w:proofErr w:type="spellEnd"/>
    </w:p>
    <w:p w:rsidR="00F94A28" w:rsidRDefault="00F94A28" w:rsidP="004B7169">
      <w:pPr>
        <w:spacing w:after="0" w:line="240" w:lineRule="auto"/>
      </w:pPr>
      <w:r>
        <w:t>President-Elect: Greg Gerard</w:t>
      </w:r>
    </w:p>
    <w:p w:rsidR="00F94A28" w:rsidRDefault="00F94A28" w:rsidP="004B7169">
      <w:pPr>
        <w:spacing w:after="0" w:line="240" w:lineRule="auto"/>
      </w:pPr>
      <w:r>
        <w:t>Vice-President Academic: Ingrid Fisher</w:t>
      </w:r>
    </w:p>
    <w:p w:rsidR="00F94A28" w:rsidRDefault="00F94A28" w:rsidP="004B7169">
      <w:pPr>
        <w:spacing w:after="0" w:line="240" w:lineRule="auto"/>
      </w:pPr>
      <w:r>
        <w:t xml:space="preserve">Vice-President Practice: Tom </w:t>
      </w:r>
      <w:proofErr w:type="spellStart"/>
      <w:r>
        <w:t>Lamm</w:t>
      </w:r>
      <w:proofErr w:type="spellEnd"/>
    </w:p>
    <w:p w:rsidR="00F94A28" w:rsidRDefault="00F94A28" w:rsidP="004B7169">
      <w:pPr>
        <w:spacing w:after="0" w:line="240" w:lineRule="auto"/>
      </w:pPr>
      <w:r>
        <w:t>Secretary/Treasurer: Graham Gal</w:t>
      </w:r>
    </w:p>
    <w:p w:rsidR="00F94A28" w:rsidRDefault="00F94A28" w:rsidP="004B7169">
      <w:pPr>
        <w:spacing w:after="0" w:line="240" w:lineRule="auto"/>
      </w:pPr>
    </w:p>
    <w:p w:rsidR="00F94A28" w:rsidRDefault="00F94A28" w:rsidP="004B7169">
      <w:pPr>
        <w:spacing w:after="0" w:line="240" w:lineRule="auto"/>
      </w:pPr>
      <w:r>
        <w:t xml:space="preserve">Guido </w:t>
      </w:r>
      <w:proofErr w:type="spellStart"/>
      <w:r>
        <w:t>Geerts</w:t>
      </w:r>
      <w:proofErr w:type="spellEnd"/>
      <w:r>
        <w:t xml:space="preserve"> also presented the incoming committee </w:t>
      </w:r>
      <w:r w:rsidR="008C543B">
        <w:t>chairs and editors:</w:t>
      </w:r>
    </w:p>
    <w:p w:rsidR="00200873" w:rsidRDefault="00200873" w:rsidP="004B7169">
      <w:pPr>
        <w:spacing w:after="0" w:line="240" w:lineRule="auto"/>
      </w:pPr>
    </w:p>
    <w:tbl>
      <w:tblPr>
        <w:tblStyle w:val="TableGrid"/>
        <w:tblW w:w="0" w:type="auto"/>
        <w:tblLook w:val="04A0"/>
      </w:tblPr>
      <w:tblGrid>
        <w:gridCol w:w="4788"/>
        <w:gridCol w:w="4788"/>
      </w:tblGrid>
      <w:tr w:rsidR="008C543B" w:rsidTr="008C543B">
        <w:tc>
          <w:tcPr>
            <w:tcW w:w="9576" w:type="dxa"/>
            <w:gridSpan w:val="2"/>
          </w:tcPr>
          <w:p w:rsidR="008C543B" w:rsidRDefault="008C543B" w:rsidP="008C543B">
            <w:pPr>
              <w:jc w:val="center"/>
            </w:pPr>
            <w:r>
              <w:t>Webmaster and Newsletter Editor</w:t>
            </w:r>
          </w:p>
        </w:tc>
      </w:tr>
      <w:tr w:rsidR="008C543B" w:rsidTr="008C543B">
        <w:tc>
          <w:tcPr>
            <w:tcW w:w="4788" w:type="dxa"/>
          </w:tcPr>
          <w:p w:rsidR="008C543B" w:rsidRDefault="008C543B" w:rsidP="004B7169">
            <w:r>
              <w:t>Webmaster</w:t>
            </w:r>
          </w:p>
        </w:tc>
        <w:tc>
          <w:tcPr>
            <w:tcW w:w="4788" w:type="dxa"/>
          </w:tcPr>
          <w:p w:rsidR="008C543B" w:rsidRDefault="008C543B" w:rsidP="004B7169">
            <w:r>
              <w:t xml:space="preserve">Rob </w:t>
            </w:r>
            <w:proofErr w:type="spellStart"/>
            <w:r>
              <w:t>Nehmer</w:t>
            </w:r>
            <w:proofErr w:type="spellEnd"/>
          </w:p>
        </w:tc>
      </w:tr>
      <w:tr w:rsidR="008C543B" w:rsidTr="008C543B">
        <w:tc>
          <w:tcPr>
            <w:tcW w:w="4788" w:type="dxa"/>
          </w:tcPr>
          <w:p w:rsidR="008C543B" w:rsidRDefault="008C543B" w:rsidP="004B7169">
            <w:r>
              <w:t>Newsletter Editor</w:t>
            </w:r>
          </w:p>
        </w:tc>
        <w:tc>
          <w:tcPr>
            <w:tcW w:w="4788" w:type="dxa"/>
          </w:tcPr>
          <w:p w:rsidR="008C543B" w:rsidRDefault="008C543B" w:rsidP="004B7169">
            <w:r>
              <w:t>Murphy Brown</w:t>
            </w:r>
          </w:p>
        </w:tc>
      </w:tr>
      <w:tr w:rsidR="008C543B" w:rsidTr="002171C8">
        <w:tc>
          <w:tcPr>
            <w:tcW w:w="9576" w:type="dxa"/>
            <w:gridSpan w:val="2"/>
          </w:tcPr>
          <w:p w:rsidR="008C543B" w:rsidRDefault="008C543B" w:rsidP="008C543B">
            <w:pPr>
              <w:jc w:val="center"/>
            </w:pPr>
            <w:r>
              <w:t>Committee Chairs</w:t>
            </w:r>
          </w:p>
        </w:tc>
      </w:tr>
      <w:tr w:rsidR="008C543B" w:rsidTr="008C543B">
        <w:tc>
          <w:tcPr>
            <w:tcW w:w="4788" w:type="dxa"/>
          </w:tcPr>
          <w:p w:rsidR="008C543B" w:rsidRDefault="008C543B" w:rsidP="004B7169">
            <w:r>
              <w:t>Research Committee</w:t>
            </w:r>
          </w:p>
        </w:tc>
        <w:tc>
          <w:tcPr>
            <w:tcW w:w="4788" w:type="dxa"/>
          </w:tcPr>
          <w:p w:rsidR="008C543B" w:rsidRDefault="008C543B" w:rsidP="004B7169">
            <w:r>
              <w:t xml:space="preserve">Rick </w:t>
            </w:r>
            <w:proofErr w:type="spellStart"/>
            <w:r>
              <w:t>Newmark</w:t>
            </w:r>
            <w:proofErr w:type="spellEnd"/>
          </w:p>
        </w:tc>
      </w:tr>
      <w:tr w:rsidR="008C543B" w:rsidTr="008C543B">
        <w:tc>
          <w:tcPr>
            <w:tcW w:w="4788" w:type="dxa"/>
          </w:tcPr>
          <w:p w:rsidR="008C543B" w:rsidRDefault="008C543B" w:rsidP="004B7169">
            <w:r>
              <w:t>Education Committee</w:t>
            </w:r>
          </w:p>
        </w:tc>
        <w:tc>
          <w:tcPr>
            <w:tcW w:w="4788" w:type="dxa"/>
          </w:tcPr>
          <w:p w:rsidR="008C543B" w:rsidRDefault="008C543B" w:rsidP="004B7169">
            <w:r>
              <w:t>Janie Chang</w:t>
            </w:r>
          </w:p>
        </w:tc>
      </w:tr>
      <w:tr w:rsidR="008C543B" w:rsidTr="008C543B">
        <w:tc>
          <w:tcPr>
            <w:tcW w:w="4788" w:type="dxa"/>
          </w:tcPr>
          <w:p w:rsidR="008C543B" w:rsidRDefault="008C543B" w:rsidP="004B7169">
            <w:r>
              <w:t>Membership Committee</w:t>
            </w:r>
          </w:p>
        </w:tc>
        <w:tc>
          <w:tcPr>
            <w:tcW w:w="4788" w:type="dxa"/>
          </w:tcPr>
          <w:p w:rsidR="008C543B" w:rsidRDefault="008C543B" w:rsidP="004B7169">
            <w:proofErr w:type="spellStart"/>
            <w:r>
              <w:t>Arline</w:t>
            </w:r>
            <w:proofErr w:type="spellEnd"/>
            <w:r>
              <w:t xml:space="preserve"> Savage</w:t>
            </w:r>
          </w:p>
        </w:tc>
      </w:tr>
      <w:tr w:rsidR="008C543B" w:rsidTr="008C543B">
        <w:tc>
          <w:tcPr>
            <w:tcW w:w="4788" w:type="dxa"/>
          </w:tcPr>
          <w:p w:rsidR="008C543B" w:rsidRDefault="008C543B" w:rsidP="004B7169">
            <w:r>
              <w:t>CPE Committee</w:t>
            </w:r>
          </w:p>
        </w:tc>
        <w:tc>
          <w:tcPr>
            <w:tcW w:w="4788" w:type="dxa"/>
          </w:tcPr>
          <w:p w:rsidR="008C543B" w:rsidRDefault="008C543B" w:rsidP="004B7169">
            <w:r>
              <w:t>Julie Smith David</w:t>
            </w:r>
          </w:p>
        </w:tc>
      </w:tr>
      <w:tr w:rsidR="002171C8" w:rsidTr="008C543B">
        <w:tc>
          <w:tcPr>
            <w:tcW w:w="4788" w:type="dxa"/>
          </w:tcPr>
          <w:p w:rsidR="002171C8" w:rsidRDefault="002171C8" w:rsidP="004B7169">
            <w:r>
              <w:t>Regions Committee</w:t>
            </w:r>
          </w:p>
        </w:tc>
        <w:tc>
          <w:tcPr>
            <w:tcW w:w="4788" w:type="dxa"/>
          </w:tcPr>
          <w:p w:rsidR="002171C8" w:rsidRDefault="002171C8" w:rsidP="004B7169">
            <w:r>
              <w:t xml:space="preserve">Nancy </w:t>
            </w:r>
            <w:proofErr w:type="spellStart"/>
            <w:r>
              <w:t>Uddin</w:t>
            </w:r>
            <w:proofErr w:type="spellEnd"/>
          </w:p>
        </w:tc>
      </w:tr>
      <w:tr w:rsidR="002171C8" w:rsidTr="008C543B">
        <w:tc>
          <w:tcPr>
            <w:tcW w:w="4788" w:type="dxa"/>
          </w:tcPr>
          <w:p w:rsidR="002171C8" w:rsidRDefault="002171C8" w:rsidP="004B7169">
            <w:r>
              <w:t>Publications Committee</w:t>
            </w:r>
          </w:p>
        </w:tc>
        <w:tc>
          <w:tcPr>
            <w:tcW w:w="4788" w:type="dxa"/>
          </w:tcPr>
          <w:p w:rsidR="002171C8" w:rsidRDefault="002171C8" w:rsidP="004B7169">
            <w:r>
              <w:t xml:space="preserve">Andy </w:t>
            </w:r>
            <w:proofErr w:type="spellStart"/>
            <w:r>
              <w:t>Lymer</w:t>
            </w:r>
            <w:proofErr w:type="spellEnd"/>
          </w:p>
        </w:tc>
      </w:tr>
      <w:tr w:rsidR="002171C8" w:rsidTr="008C543B">
        <w:tc>
          <w:tcPr>
            <w:tcW w:w="4788" w:type="dxa"/>
          </w:tcPr>
          <w:p w:rsidR="002171C8" w:rsidRDefault="002171C8" w:rsidP="004B7169">
            <w:r>
              <w:t>Workshop Committee</w:t>
            </w:r>
          </w:p>
        </w:tc>
        <w:tc>
          <w:tcPr>
            <w:tcW w:w="4788" w:type="dxa"/>
          </w:tcPr>
          <w:p w:rsidR="002171C8" w:rsidRDefault="002171C8" w:rsidP="004B7169">
            <w:r>
              <w:t>Amelia Baldwin, Carol Brown, and Greg Gerard</w:t>
            </w:r>
          </w:p>
        </w:tc>
      </w:tr>
      <w:tr w:rsidR="00200873" w:rsidTr="00200873">
        <w:tc>
          <w:tcPr>
            <w:tcW w:w="9576" w:type="dxa"/>
            <w:gridSpan w:val="2"/>
          </w:tcPr>
          <w:p w:rsidR="00200873" w:rsidRDefault="00200873" w:rsidP="00200873">
            <w:pPr>
              <w:jc w:val="center"/>
            </w:pPr>
            <w:r>
              <w:t>Chairs Awards Committees</w:t>
            </w:r>
          </w:p>
        </w:tc>
      </w:tr>
      <w:tr w:rsidR="002171C8" w:rsidTr="008C543B">
        <w:tc>
          <w:tcPr>
            <w:tcW w:w="4788" w:type="dxa"/>
          </w:tcPr>
          <w:p w:rsidR="002171C8" w:rsidRDefault="002171C8" w:rsidP="004B7169">
            <w:r>
              <w:t>Awards Committee</w:t>
            </w:r>
          </w:p>
        </w:tc>
        <w:tc>
          <w:tcPr>
            <w:tcW w:w="4788" w:type="dxa"/>
          </w:tcPr>
          <w:p w:rsidR="002171C8" w:rsidRDefault="002171C8" w:rsidP="004B7169">
            <w:r>
              <w:t xml:space="preserve">Alex </w:t>
            </w:r>
            <w:proofErr w:type="spellStart"/>
            <w:r>
              <w:t>Kogan</w:t>
            </w:r>
            <w:proofErr w:type="spellEnd"/>
          </w:p>
        </w:tc>
      </w:tr>
      <w:tr w:rsidR="002171C8" w:rsidTr="008C543B">
        <w:tc>
          <w:tcPr>
            <w:tcW w:w="4788" w:type="dxa"/>
          </w:tcPr>
          <w:p w:rsidR="002171C8" w:rsidRDefault="002171C8" w:rsidP="004B7169">
            <w:r>
              <w:t>Outstanding Dissertation Award Committee</w:t>
            </w:r>
          </w:p>
        </w:tc>
        <w:tc>
          <w:tcPr>
            <w:tcW w:w="4788" w:type="dxa"/>
          </w:tcPr>
          <w:p w:rsidR="002171C8" w:rsidRDefault="002171C8" w:rsidP="004B7169">
            <w:r>
              <w:t>Carlin Dowling</w:t>
            </w:r>
          </w:p>
        </w:tc>
      </w:tr>
    </w:tbl>
    <w:p w:rsidR="008C543B" w:rsidRPr="004B7169" w:rsidRDefault="008C543B" w:rsidP="004B7169">
      <w:pPr>
        <w:spacing w:after="0" w:line="240" w:lineRule="auto"/>
      </w:pPr>
    </w:p>
    <w:p w:rsidR="008942C9" w:rsidRDefault="004E7AC5" w:rsidP="004E7AC5">
      <w:pPr>
        <w:spacing w:after="0" w:line="240" w:lineRule="auto"/>
        <w:jc w:val="center"/>
        <w:rPr>
          <w:b/>
          <w:sz w:val="24"/>
          <w:szCs w:val="24"/>
        </w:rPr>
      </w:pPr>
      <w:r w:rsidRPr="004E7AC5">
        <w:rPr>
          <w:b/>
          <w:sz w:val="24"/>
          <w:szCs w:val="24"/>
        </w:rPr>
        <w:t>Awards</w:t>
      </w:r>
    </w:p>
    <w:p w:rsidR="004E7AC5" w:rsidRPr="004E7AC5" w:rsidRDefault="004E7AC5" w:rsidP="004E7AC5">
      <w:pPr>
        <w:spacing w:after="0" w:line="240" w:lineRule="auto"/>
        <w:jc w:val="center"/>
        <w:rPr>
          <w:sz w:val="24"/>
          <w:szCs w:val="24"/>
        </w:rPr>
      </w:pPr>
    </w:p>
    <w:p w:rsidR="004E7AC5" w:rsidRDefault="004E7AC5" w:rsidP="004E7AC5">
      <w:pPr>
        <w:spacing w:after="0" w:line="240" w:lineRule="auto"/>
        <w:jc w:val="center"/>
      </w:pPr>
    </w:p>
    <w:p w:rsidR="00F66152" w:rsidRDefault="004E7AC5" w:rsidP="004E7AC5">
      <w:pPr>
        <w:spacing w:after="0" w:line="240" w:lineRule="auto"/>
      </w:pPr>
      <w:r>
        <w:t xml:space="preserve">Outstanding dissertation: </w:t>
      </w:r>
    </w:p>
    <w:p w:rsidR="004E7AC5" w:rsidRDefault="004E7AC5" w:rsidP="004E7AC5">
      <w:pPr>
        <w:spacing w:after="0" w:line="240" w:lineRule="auto"/>
      </w:pPr>
      <w:r>
        <w:t xml:space="preserve">John </w:t>
      </w:r>
      <w:proofErr w:type="spellStart"/>
      <w:r>
        <w:t>Cheh</w:t>
      </w:r>
      <w:proofErr w:type="spellEnd"/>
      <w:r>
        <w:t>, chair of the committee, indicated that this year the committee did not pick an award winner.</w:t>
      </w:r>
      <w:r w:rsidR="00EB1253">
        <w:t xml:space="preserve">  Steve Sutton raised the question of whether the Section should reconsider the time frame for dissertations to be considered for this award.  Originally dissertations in the past two years could be considered, but with the by-law changes it is now one year.</w:t>
      </w:r>
    </w:p>
    <w:p w:rsidR="004E7AC5" w:rsidRDefault="004E7AC5" w:rsidP="004E7AC5">
      <w:pPr>
        <w:spacing w:after="0" w:line="240" w:lineRule="auto"/>
      </w:pPr>
    </w:p>
    <w:p w:rsidR="00F66152" w:rsidRDefault="004E7AC5" w:rsidP="004E7AC5">
      <w:pPr>
        <w:spacing w:after="0" w:line="240" w:lineRule="auto"/>
      </w:pPr>
      <w:r>
        <w:t xml:space="preserve">Outstanding researcher:  </w:t>
      </w:r>
    </w:p>
    <w:p w:rsidR="004E7AC5" w:rsidRDefault="004E7AC5" w:rsidP="004E7AC5">
      <w:pPr>
        <w:spacing w:after="0" w:line="240" w:lineRule="auto"/>
      </w:pPr>
      <w:r>
        <w:t>Stewart Leech announced that this years’ award winner was Murphy Smith.</w:t>
      </w:r>
    </w:p>
    <w:p w:rsidR="004E7AC5" w:rsidRDefault="004E7AC5" w:rsidP="004E7AC5">
      <w:pPr>
        <w:spacing w:after="0" w:line="240" w:lineRule="auto"/>
      </w:pPr>
    </w:p>
    <w:p w:rsidR="00F66152" w:rsidRDefault="004E7AC5" w:rsidP="004E7AC5">
      <w:pPr>
        <w:spacing w:after="0" w:line="240" w:lineRule="auto"/>
      </w:pPr>
      <w:r>
        <w:t xml:space="preserve">Outstanding educator:  </w:t>
      </w:r>
    </w:p>
    <w:p w:rsidR="004E7AC5" w:rsidRDefault="00171AF5" w:rsidP="004E7AC5">
      <w:pPr>
        <w:spacing w:after="0" w:line="240" w:lineRule="auto"/>
      </w:pPr>
      <w:r>
        <w:t>Stewart Leech announced that this year’s award winner was Clinton “Skip” White.</w:t>
      </w:r>
    </w:p>
    <w:p w:rsidR="00171AF5" w:rsidRDefault="00171AF5" w:rsidP="004E7AC5">
      <w:pPr>
        <w:spacing w:after="0" w:line="240" w:lineRule="auto"/>
      </w:pPr>
    </w:p>
    <w:p w:rsidR="00F66152" w:rsidRDefault="00171AF5" w:rsidP="004E7AC5">
      <w:pPr>
        <w:spacing w:after="0" w:line="240" w:lineRule="auto"/>
      </w:pPr>
      <w:r>
        <w:t xml:space="preserve">Outstanding service:  </w:t>
      </w:r>
    </w:p>
    <w:p w:rsidR="00E40F3D" w:rsidRDefault="00171AF5" w:rsidP="004E7AC5">
      <w:pPr>
        <w:spacing w:after="0" w:line="240" w:lineRule="auto"/>
      </w:pPr>
      <w:r>
        <w:t xml:space="preserve">Alex </w:t>
      </w:r>
      <w:proofErr w:type="spellStart"/>
      <w:r>
        <w:t>Kogan</w:t>
      </w:r>
      <w:proofErr w:type="spellEnd"/>
      <w:r>
        <w:t xml:space="preserve"> announced that this year’s award winner was </w:t>
      </w:r>
      <w:proofErr w:type="spellStart"/>
      <w:r>
        <w:t>Miklos</w:t>
      </w:r>
      <w:proofErr w:type="spellEnd"/>
      <w:r>
        <w:t xml:space="preserve"> </w:t>
      </w:r>
      <w:proofErr w:type="spellStart"/>
      <w:r>
        <w:t>Vasarhelyi</w:t>
      </w:r>
      <w:proofErr w:type="spellEnd"/>
      <w:r>
        <w:t>.</w:t>
      </w:r>
      <w:r w:rsidR="00E40F3D">
        <w:t xml:space="preserve">  Alex </w:t>
      </w:r>
      <w:proofErr w:type="spellStart"/>
      <w:r w:rsidR="00E40F3D">
        <w:t>Kogan</w:t>
      </w:r>
      <w:proofErr w:type="spellEnd"/>
      <w:r w:rsidR="00E40F3D">
        <w:t xml:space="preserve"> made an additional award to Amelia Baldwin and Carol Brown i</w:t>
      </w:r>
      <w:r>
        <w:t xml:space="preserve">n recognition of the </w:t>
      </w:r>
      <w:r w:rsidR="008E71D5">
        <w:t xml:space="preserve">considerable </w:t>
      </w:r>
      <w:r>
        <w:t xml:space="preserve">effort required </w:t>
      </w:r>
      <w:proofErr w:type="gramStart"/>
      <w:r>
        <w:t>to run</w:t>
      </w:r>
      <w:proofErr w:type="gramEnd"/>
      <w:r>
        <w:t xml:space="preserve"> the </w:t>
      </w:r>
      <w:r w:rsidR="008E71D5">
        <w:t>Annual Re</w:t>
      </w:r>
      <w:r>
        <w:t xml:space="preserve">search workshop </w:t>
      </w:r>
      <w:r w:rsidR="008E71D5">
        <w:t xml:space="preserve">over the last decade </w:t>
      </w:r>
      <w:r>
        <w:t>and because of its importance to the Section</w:t>
      </w:r>
      <w:r w:rsidR="00E40F3D">
        <w:t>.</w:t>
      </w:r>
    </w:p>
    <w:p w:rsidR="00B701DA" w:rsidRDefault="00E40F3D" w:rsidP="004E7AC5">
      <w:pPr>
        <w:spacing w:after="0" w:line="240" w:lineRule="auto"/>
      </w:pPr>
      <w:r>
        <w:t xml:space="preserve"> </w:t>
      </w:r>
    </w:p>
    <w:p w:rsidR="00B701DA" w:rsidRDefault="00B701DA" w:rsidP="00E957EB">
      <w:pPr>
        <w:autoSpaceDE w:val="0"/>
        <w:autoSpaceDN w:val="0"/>
        <w:adjustRightInd w:val="0"/>
        <w:spacing w:before="120" w:after="120"/>
      </w:pPr>
      <w:r w:rsidRPr="00E40F3D">
        <w:t>Carol Brown presented the award for the best paper at the research workshop, as voted on by the participants, to</w:t>
      </w:r>
      <w:r w:rsidR="00E40F3D" w:rsidRPr="00E40F3D">
        <w:t xml:space="preserve"> </w:t>
      </w:r>
      <w:proofErr w:type="spellStart"/>
      <w:r w:rsidR="00E40F3D" w:rsidRPr="00E40F3D">
        <w:rPr>
          <w:rFonts w:cs="Arial"/>
        </w:rPr>
        <w:t>Yongbum</w:t>
      </w:r>
      <w:proofErr w:type="spellEnd"/>
      <w:r w:rsidR="00E40F3D" w:rsidRPr="00E40F3D">
        <w:rPr>
          <w:rFonts w:cs="Arial"/>
        </w:rPr>
        <w:t xml:space="preserve"> Kim, David Y. Chan, </w:t>
      </w:r>
      <w:proofErr w:type="spellStart"/>
      <w:r w:rsidR="00E40F3D" w:rsidRPr="00E40F3D">
        <w:rPr>
          <w:rFonts w:cs="Arial"/>
        </w:rPr>
        <w:t>Miklos</w:t>
      </w:r>
      <w:proofErr w:type="spellEnd"/>
      <w:r w:rsidR="00E40F3D" w:rsidRPr="00E40F3D">
        <w:rPr>
          <w:rFonts w:cs="Arial"/>
        </w:rPr>
        <w:t xml:space="preserve"> A. </w:t>
      </w:r>
      <w:proofErr w:type="spellStart"/>
      <w:r w:rsidR="00E40F3D" w:rsidRPr="00E40F3D">
        <w:rPr>
          <w:rFonts w:cs="Arial"/>
        </w:rPr>
        <w:t>Vasarhelyi</w:t>
      </w:r>
      <w:proofErr w:type="spellEnd"/>
      <w:r w:rsidR="00E40F3D" w:rsidRPr="00E40F3D">
        <w:rPr>
          <w:rFonts w:cs="Arial"/>
        </w:rPr>
        <w:t xml:space="preserve">, Alex </w:t>
      </w:r>
      <w:proofErr w:type="spellStart"/>
      <w:r w:rsidR="00E40F3D" w:rsidRPr="00E40F3D">
        <w:rPr>
          <w:rFonts w:cs="Arial"/>
        </w:rPr>
        <w:t>Kogan</w:t>
      </w:r>
      <w:proofErr w:type="spellEnd"/>
      <w:r w:rsidR="00E40F3D" w:rsidRPr="00E40F3D">
        <w:rPr>
          <w:rFonts w:cs="Arial"/>
        </w:rPr>
        <w:t xml:space="preserve"> </w:t>
      </w:r>
      <w:r w:rsidR="00E40F3D" w:rsidRPr="00E40F3D">
        <w:rPr>
          <w:rFonts w:cs="Arial"/>
          <w:color w:val="000000"/>
        </w:rPr>
        <w:t>(Rutgers University) for their paper “</w:t>
      </w:r>
      <w:r w:rsidR="00E40F3D" w:rsidRPr="00E40F3D">
        <w:rPr>
          <w:rFonts w:cs="Arial"/>
          <w:bCs/>
        </w:rPr>
        <w:t>Unsupervised Fraud Detection: A Rule-Based Model in the Wire Transfer Payment Process of a Major Insurance Company in the United States”</w:t>
      </w:r>
    </w:p>
    <w:p w:rsidR="00B701DA" w:rsidRDefault="00B701DA" w:rsidP="004E7AC5">
      <w:pPr>
        <w:spacing w:after="0" w:line="240" w:lineRule="auto"/>
      </w:pPr>
    </w:p>
    <w:p w:rsidR="00B701DA" w:rsidRDefault="00B701DA" w:rsidP="00B701DA">
      <w:pPr>
        <w:spacing w:after="0" w:line="240" w:lineRule="auto"/>
        <w:jc w:val="center"/>
        <w:rPr>
          <w:b/>
          <w:sz w:val="24"/>
          <w:szCs w:val="24"/>
        </w:rPr>
      </w:pPr>
      <w:r>
        <w:rPr>
          <w:b/>
          <w:sz w:val="24"/>
          <w:szCs w:val="24"/>
        </w:rPr>
        <w:t>Committee Reports</w:t>
      </w:r>
    </w:p>
    <w:p w:rsidR="00B701DA" w:rsidRDefault="00B701DA" w:rsidP="007850DB">
      <w:pPr>
        <w:spacing w:after="0" w:line="240" w:lineRule="auto"/>
      </w:pPr>
    </w:p>
    <w:p w:rsidR="00F66152" w:rsidRDefault="007850DB" w:rsidP="007850DB">
      <w:pPr>
        <w:spacing w:after="0" w:line="240" w:lineRule="auto"/>
      </w:pPr>
      <w:r>
        <w:t xml:space="preserve">Education Committee:  </w:t>
      </w:r>
    </w:p>
    <w:p w:rsidR="007850DB" w:rsidRDefault="007850DB" w:rsidP="007850DB">
      <w:pPr>
        <w:spacing w:after="0" w:line="240" w:lineRule="auto"/>
      </w:pPr>
      <w:r>
        <w:t xml:space="preserve">Chair of the committee </w:t>
      </w:r>
      <w:proofErr w:type="spellStart"/>
      <w:r>
        <w:t>Ak</w:t>
      </w:r>
      <w:r w:rsidR="00E40F3D">
        <w:t>h</w:t>
      </w:r>
      <w:r>
        <w:t>ilesh</w:t>
      </w:r>
      <w:proofErr w:type="spellEnd"/>
      <w:r>
        <w:t xml:space="preserve"> Chandra was not present and did not send in a report.</w:t>
      </w:r>
    </w:p>
    <w:p w:rsidR="007850DB" w:rsidRDefault="007850DB" w:rsidP="007850DB">
      <w:pPr>
        <w:spacing w:after="0" w:line="240" w:lineRule="auto"/>
      </w:pPr>
    </w:p>
    <w:p w:rsidR="00F66152" w:rsidRDefault="007850DB" w:rsidP="007850DB">
      <w:pPr>
        <w:spacing w:after="0" w:line="240" w:lineRule="auto"/>
      </w:pPr>
      <w:r>
        <w:t xml:space="preserve">Research Committee: </w:t>
      </w:r>
    </w:p>
    <w:p w:rsidR="00517370" w:rsidRDefault="007850DB" w:rsidP="007850DB">
      <w:pPr>
        <w:spacing w:after="0" w:line="240" w:lineRule="auto"/>
      </w:pPr>
      <w:r>
        <w:t xml:space="preserve">Chair of the committee </w:t>
      </w:r>
      <w:proofErr w:type="spellStart"/>
      <w:r>
        <w:t>Jagdish</w:t>
      </w:r>
      <w:proofErr w:type="spellEnd"/>
      <w:r>
        <w:t xml:space="preserve"> </w:t>
      </w:r>
      <w:proofErr w:type="spellStart"/>
      <w:r>
        <w:t>Pathak</w:t>
      </w:r>
      <w:proofErr w:type="spellEnd"/>
      <w:r w:rsidR="00517370">
        <w:t xml:space="preserve"> reported the </w:t>
      </w:r>
      <w:r w:rsidR="008E71D5">
        <w:t xml:space="preserve">three </w:t>
      </w:r>
      <w:r w:rsidR="00517370">
        <w:t xml:space="preserve">research committee reports were presented at a panel as part of the workshop.  The committee reports were still work in progress and would be published when appropriate.  Roger Debreceny commented that the </w:t>
      </w:r>
      <w:r w:rsidR="008E71D5">
        <w:t xml:space="preserve">three </w:t>
      </w:r>
      <w:r w:rsidR="00517370">
        <w:t>committee report</w:t>
      </w:r>
      <w:r w:rsidR="008E71D5">
        <w:t>s</w:t>
      </w:r>
      <w:r w:rsidR="00517370">
        <w:t xml:space="preserve"> w</w:t>
      </w:r>
      <w:r w:rsidR="008E71D5">
        <w:t>ere</w:t>
      </w:r>
      <w:r w:rsidR="00517370">
        <w:t xml:space="preserve"> in the 40 – 50 page range and </w:t>
      </w:r>
      <w:r w:rsidR="008E71D5">
        <w:t>would need</w:t>
      </w:r>
      <w:r w:rsidR="00517370">
        <w:t xml:space="preserve"> to be </w:t>
      </w:r>
      <w:r w:rsidR="008E71D5">
        <w:t>edited</w:t>
      </w:r>
      <w:r w:rsidR="00517370">
        <w:t>.</w:t>
      </w:r>
    </w:p>
    <w:p w:rsidR="00517370" w:rsidRDefault="00517370" w:rsidP="007850DB">
      <w:pPr>
        <w:spacing w:after="0" w:line="240" w:lineRule="auto"/>
      </w:pPr>
    </w:p>
    <w:p w:rsidR="00F66152" w:rsidRDefault="00517370" w:rsidP="007850DB">
      <w:pPr>
        <w:spacing w:after="0" w:line="240" w:lineRule="auto"/>
      </w:pPr>
      <w:r>
        <w:t xml:space="preserve">Publication Committee:  </w:t>
      </w:r>
    </w:p>
    <w:p w:rsidR="00517370" w:rsidRDefault="00517370" w:rsidP="007850DB">
      <w:pPr>
        <w:spacing w:after="0" w:line="240" w:lineRule="auto"/>
      </w:pPr>
      <w:r>
        <w:t>Steve Sutton</w:t>
      </w:r>
      <w:r w:rsidR="003362D4">
        <w:t xml:space="preserve"> presented the results of the committee’s investigation of the costs of producing printed copies of the Section Journal</w:t>
      </w:r>
      <w:r w:rsidR="003362D4">
        <w:rPr>
          <w:rStyle w:val="FootnoteReference"/>
        </w:rPr>
        <w:footnoteReference w:id="1"/>
      </w:r>
      <w:r w:rsidR="003362D4">
        <w:t xml:space="preserve">.  </w:t>
      </w:r>
      <w:r w:rsidR="00C275E9">
        <w:t xml:space="preserve"> The main issue is the cost of the </w:t>
      </w:r>
      <w:r w:rsidR="00EB1253" w:rsidRPr="00EB1253">
        <w:rPr>
          <w:i/>
        </w:rPr>
        <w:t>JETA</w:t>
      </w:r>
      <w:r w:rsidR="00C275E9">
        <w:t xml:space="preserve">, and whether the Section should continue to provide printed copies.  Steve Sutton </w:t>
      </w:r>
      <w:r w:rsidR="00732918">
        <w:t xml:space="preserve">indicated that the implications for authors, as they present their record to promotion and tenure committees, if their work is in an online journal.  This is because there is a perception that online journals are not of the same quality as printed journals.  Peter Gillett asked about publishing on demand, and still </w:t>
      </w:r>
      <w:proofErr w:type="gramStart"/>
      <w:r w:rsidR="00732918">
        <w:t>have</w:t>
      </w:r>
      <w:proofErr w:type="gramEnd"/>
      <w:r w:rsidR="00732918">
        <w:t xml:space="preserve"> the option to get copy of Journal.  He indicated that this would be an Institution issue.  Alex </w:t>
      </w:r>
      <w:proofErr w:type="spellStart"/>
      <w:r w:rsidR="00732918">
        <w:t>Kogan</w:t>
      </w:r>
      <w:proofErr w:type="spellEnd"/>
      <w:r w:rsidR="00732918">
        <w:t xml:space="preserve"> asked about the three library subscription and whether the Section gets fees for these electronic subscriptions.  Roger Debreceny reported that the Section Journal is included in a package of American Accounting Association </w:t>
      </w:r>
      <w:proofErr w:type="gramStart"/>
      <w:r w:rsidR="00732918">
        <w:t xml:space="preserve">journals </w:t>
      </w:r>
      <w:r w:rsidR="008E71D5">
        <w:t xml:space="preserve"> sold</w:t>
      </w:r>
      <w:proofErr w:type="gramEnd"/>
      <w:r w:rsidR="008E71D5">
        <w:t xml:space="preserve"> to content aggregators. T</w:t>
      </w:r>
      <w:r w:rsidR="00732918">
        <w:t xml:space="preserve">he </w:t>
      </w:r>
      <w:r w:rsidR="008E71D5">
        <w:t>fees from the aggregation do</w:t>
      </w:r>
      <w:r w:rsidR="00CC687B">
        <w:t xml:space="preserve"> not go to Section</w:t>
      </w:r>
      <w:r w:rsidR="008E71D5">
        <w:t>s</w:t>
      </w:r>
      <w:r w:rsidR="000B037E">
        <w:t xml:space="preserve">, and that </w:t>
      </w:r>
      <w:r w:rsidR="000B037E" w:rsidRPr="00EB1253">
        <w:rPr>
          <w:i/>
        </w:rPr>
        <w:t>The</w:t>
      </w:r>
      <w:r w:rsidR="00CC687B" w:rsidRPr="00EB1253">
        <w:rPr>
          <w:i/>
        </w:rPr>
        <w:t xml:space="preserve"> Accounting Review </w:t>
      </w:r>
      <w:r w:rsidR="00CC687B">
        <w:t>is rea</w:t>
      </w:r>
      <w:r w:rsidR="000B037E">
        <w:t xml:space="preserve">lly the journal driving the fee for the package of Association journals.  Carol Brown indicated that the Section journal is not available at </w:t>
      </w:r>
      <w:r w:rsidR="00AF0259">
        <w:t xml:space="preserve">Oregon State.  Andy </w:t>
      </w:r>
      <w:proofErr w:type="spellStart"/>
      <w:r w:rsidR="00AF0259">
        <w:t>Lymer</w:t>
      </w:r>
      <w:proofErr w:type="spellEnd"/>
      <w:r w:rsidR="00AF0259">
        <w:t xml:space="preserve"> noted that EBSCO allows you to pick and choose journals in the subscription.  Roger Debreceny added that with EBSCO you get all of the Journals in the AAA package.  Ingrid Fisher added that at the University of Albany the library subscribes to both ABI/Inform and EBSCO </w:t>
      </w:r>
      <w:r w:rsidR="00444A2D">
        <w:t xml:space="preserve">and that </w:t>
      </w:r>
      <w:r w:rsidR="00EB1253" w:rsidRPr="00EB1253">
        <w:rPr>
          <w:i/>
        </w:rPr>
        <w:t>JETA</w:t>
      </w:r>
      <w:r w:rsidR="00444A2D">
        <w:t xml:space="preserve"> seems to have been taken out, and that it could be someone at the Institution is making choices about which journals to include.  Andy </w:t>
      </w:r>
      <w:proofErr w:type="spellStart"/>
      <w:r w:rsidR="00444A2D">
        <w:t>Lymer</w:t>
      </w:r>
      <w:proofErr w:type="spellEnd"/>
      <w:r w:rsidR="00444A2D">
        <w:t xml:space="preserve"> asked if it could be determined what the policy is.  </w:t>
      </w:r>
      <w:r w:rsidR="008E386C">
        <w:t xml:space="preserve">Carol Brown also commented about the low impact of the </w:t>
      </w:r>
      <w:r w:rsidR="00EB1253" w:rsidRPr="00EB1253">
        <w:rPr>
          <w:i/>
        </w:rPr>
        <w:t>JETA</w:t>
      </w:r>
      <w:r w:rsidR="008E386C">
        <w:t xml:space="preserve"> because of the low subscription numbers and questioned about inclusion in the SSCI.  Roger Debreceny indicated that the Section journal is five to ten years away from getting in the index.  Steve Sutton added that his experience with adding journals to indices and that there may be some competition from Scopus</w:t>
      </w:r>
      <w:r w:rsidR="008732D2">
        <w:t xml:space="preserve"> in terms of getting into the indices.</w:t>
      </w:r>
    </w:p>
    <w:p w:rsidR="00D54505" w:rsidRDefault="00D54505" w:rsidP="007850DB">
      <w:pPr>
        <w:spacing w:after="0" w:line="240" w:lineRule="auto"/>
      </w:pPr>
      <w:r>
        <w:t>A summary of the recommendations from the committee are:</w:t>
      </w:r>
    </w:p>
    <w:p w:rsidR="00D54505" w:rsidRDefault="00D54505" w:rsidP="00D54505">
      <w:pPr>
        <w:pStyle w:val="ListParagraph"/>
        <w:numPr>
          <w:ilvl w:val="0"/>
          <w:numId w:val="7"/>
        </w:numPr>
      </w:pPr>
      <w:r>
        <w:t>Continue a very limited print production of JETA</w:t>
      </w:r>
    </w:p>
    <w:p w:rsidR="00D54505" w:rsidRDefault="00D54505" w:rsidP="00D54505">
      <w:pPr>
        <w:pStyle w:val="ListParagraph"/>
        <w:numPr>
          <w:ilvl w:val="0"/>
          <w:numId w:val="7"/>
        </w:numPr>
      </w:pPr>
      <w:r>
        <w:t>Raise the price for printed subscriptions to $25</w:t>
      </w:r>
    </w:p>
    <w:p w:rsidR="00D54505" w:rsidRDefault="00D54505" w:rsidP="00D54505">
      <w:pPr>
        <w:pStyle w:val="ListParagraph"/>
        <w:numPr>
          <w:ilvl w:val="0"/>
          <w:numId w:val="7"/>
        </w:numPr>
      </w:pPr>
      <w:r>
        <w:t>Provide author’s with .</w:t>
      </w:r>
      <w:proofErr w:type="spellStart"/>
      <w:r>
        <w:t>pdf</w:t>
      </w:r>
      <w:proofErr w:type="spellEnd"/>
      <w:r>
        <w:t xml:space="preserve"> or other electronic form.</w:t>
      </w:r>
    </w:p>
    <w:p w:rsidR="00D54505" w:rsidRDefault="00D54505" w:rsidP="00D54505">
      <w:pPr>
        <w:pStyle w:val="ListParagraph"/>
        <w:numPr>
          <w:ilvl w:val="0"/>
          <w:numId w:val="7"/>
        </w:numPr>
      </w:pPr>
      <w:r>
        <w:t>Cease the provision of 3-5 copies of print journal to each author.</w:t>
      </w:r>
    </w:p>
    <w:p w:rsidR="00D54505" w:rsidRDefault="00D54505" w:rsidP="00D54505">
      <w:pPr>
        <w:pStyle w:val="ListParagraph"/>
        <w:numPr>
          <w:ilvl w:val="0"/>
          <w:numId w:val="7"/>
        </w:numPr>
      </w:pPr>
      <w:r>
        <w:t>SET Section Executive Committee pursue through AAA Council the option of on-demand publishing of the journal</w:t>
      </w:r>
    </w:p>
    <w:p w:rsidR="00D54505" w:rsidRDefault="00D54505" w:rsidP="00D54505">
      <w:pPr>
        <w:pStyle w:val="ListParagraph"/>
        <w:numPr>
          <w:ilvl w:val="0"/>
          <w:numId w:val="7"/>
        </w:numPr>
      </w:pPr>
      <w:r>
        <w:t>Cap the number of targeted pages in an issue of JETA to 135 pages.</w:t>
      </w:r>
    </w:p>
    <w:p w:rsidR="008732D2" w:rsidRDefault="008732D2" w:rsidP="007850DB">
      <w:pPr>
        <w:spacing w:after="0" w:line="240" w:lineRule="auto"/>
      </w:pPr>
    </w:p>
    <w:p w:rsidR="00F66152" w:rsidRDefault="00EB1253" w:rsidP="007850DB">
      <w:pPr>
        <w:spacing w:after="0" w:line="240" w:lineRule="auto"/>
      </w:pPr>
      <w:r w:rsidRPr="00EB1253">
        <w:rPr>
          <w:i/>
        </w:rPr>
        <w:t>JETA</w:t>
      </w:r>
      <w:r w:rsidR="008732D2">
        <w:t xml:space="preserve"> Editor’s Report:  </w:t>
      </w:r>
    </w:p>
    <w:p w:rsidR="008732D2" w:rsidRDefault="008732D2" w:rsidP="007850DB">
      <w:pPr>
        <w:spacing w:after="0" w:line="240" w:lineRule="auto"/>
      </w:pPr>
      <w:r>
        <w:t>Dan O’Leary, the current editor of the journal, took over the position on July 1</w:t>
      </w:r>
      <w:r w:rsidRPr="008732D2">
        <w:rPr>
          <w:vertAlign w:val="superscript"/>
        </w:rPr>
        <w:t>st</w:t>
      </w:r>
      <w:r w:rsidR="009E1DB1">
        <w:rPr>
          <w:vertAlign w:val="superscript"/>
        </w:rPr>
        <w:t xml:space="preserve">.  </w:t>
      </w:r>
      <w:r w:rsidR="009E1DB1">
        <w:t>, 2008</w:t>
      </w:r>
      <w:r>
        <w:t xml:space="preserve">.  He indicated that his approach to accepting manuscripts for publication would be referee heavy; meaning he was inclined to go with the judgment of the referees.  He has been asking for two referee reports for each manuscript.  </w:t>
      </w:r>
      <w:r w:rsidR="003C5387">
        <w:t>Dan O’Leary reported that there were eighteen submissions (twenty-one if three resubmissions from previous editor are included) and three were accepted.  Half of the reviews were turned around in 30 days; three were 120 days or more</w:t>
      </w:r>
      <w:r w:rsidR="003A2C2E">
        <w:rPr>
          <w:rStyle w:val="FootnoteReference"/>
        </w:rPr>
        <w:footnoteReference w:id="2"/>
      </w:r>
      <w:r w:rsidR="003C5387">
        <w:t xml:space="preserve">.  </w:t>
      </w:r>
      <w:r w:rsidR="009E1DB1">
        <w:t xml:space="preserve">Dan reported that there had been 18 new submissions and 3 manuscripts that were resubmitted.  All of these 21 had been evaluated.  Fifteen had been rejected, three had been invited to revise, and three had been accepted.  </w:t>
      </w:r>
      <w:r w:rsidR="003C5387">
        <w:t>Dan also reported that the SSCI looks at citation</w:t>
      </w:r>
      <w:r w:rsidR="0019020A">
        <w:t>s</w:t>
      </w:r>
      <w:r w:rsidR="003C5387">
        <w:t xml:space="preserve">.  One way to get more citations would be to post the articles to the web.  Andy </w:t>
      </w:r>
      <w:proofErr w:type="spellStart"/>
      <w:r w:rsidR="003C5387">
        <w:t>Lymer</w:t>
      </w:r>
      <w:proofErr w:type="spellEnd"/>
      <w:r w:rsidR="003C5387">
        <w:t xml:space="preserve"> </w:t>
      </w:r>
      <w:r w:rsidR="0019020A">
        <w:t>added that we need to ensure that the editorship remains in good hands and so</w:t>
      </w:r>
      <w:r w:rsidR="00B36E8B">
        <w:t xml:space="preserve"> we must begin</w:t>
      </w:r>
      <w:r w:rsidR="00056B85">
        <w:t xml:space="preserve"> looking for a</w:t>
      </w:r>
      <w:r w:rsidR="00B36E8B">
        <w:t xml:space="preserve"> </w:t>
      </w:r>
      <w:r w:rsidR="0019020A">
        <w:t>successor.</w:t>
      </w:r>
    </w:p>
    <w:p w:rsidR="00056B85" w:rsidRDefault="00056B85" w:rsidP="007850DB">
      <w:pPr>
        <w:spacing w:after="0" w:line="240" w:lineRule="auto"/>
      </w:pPr>
    </w:p>
    <w:p w:rsidR="00F66152" w:rsidRDefault="00056B85" w:rsidP="007850DB">
      <w:pPr>
        <w:spacing w:after="0" w:line="240" w:lineRule="auto"/>
      </w:pPr>
      <w:r>
        <w:t xml:space="preserve">Website and AAA Commons committee reports: </w:t>
      </w:r>
      <w:r w:rsidR="00B3196B">
        <w:t xml:space="preserve"> </w:t>
      </w:r>
    </w:p>
    <w:p w:rsidR="00B03EF4" w:rsidRDefault="00B3196B" w:rsidP="007850DB">
      <w:pPr>
        <w:spacing w:after="0" w:line="240" w:lineRule="auto"/>
      </w:pPr>
      <w:r>
        <w:t xml:space="preserve">As webmaster Rob </w:t>
      </w:r>
      <w:proofErr w:type="spellStart"/>
      <w:r>
        <w:t>Nehmer</w:t>
      </w:r>
      <w:proofErr w:type="spellEnd"/>
      <w:r>
        <w:t xml:space="preserve"> wanted to make it clear that he is not responsible for content, and that he would post items to the website as they became available.  Rob also reported </w:t>
      </w:r>
      <w:r w:rsidR="00CD2A74">
        <w:t>that at the December</w:t>
      </w:r>
      <w:r w:rsidR="00B03EF4">
        <w:t xml:space="preserve"> meeting of the AAA Commons Editorial Board was looking for ways to enhance content and to see if there was a way for postings to suffice for promotion and tenure consideration.</w:t>
      </w:r>
      <w:r w:rsidR="00120570">
        <w:t xml:space="preserve">  The goal for the upcoming year is to push out more use of the Commons.  Rob added that our Section could take a lead in new uses for the Commons and our Section should generate ideas for the use of the Commons.</w:t>
      </w:r>
    </w:p>
    <w:p w:rsidR="008B379A" w:rsidRDefault="008B379A" w:rsidP="007850DB">
      <w:pPr>
        <w:spacing w:after="0" w:line="240" w:lineRule="auto"/>
      </w:pPr>
    </w:p>
    <w:p w:rsidR="008B379A" w:rsidRPr="00A34388" w:rsidRDefault="008B379A" w:rsidP="008B379A">
      <w:pPr>
        <w:spacing w:after="0" w:line="240" w:lineRule="auto"/>
        <w:jc w:val="center"/>
        <w:rPr>
          <w:b/>
          <w:sz w:val="24"/>
          <w:szCs w:val="24"/>
        </w:rPr>
      </w:pPr>
      <w:r w:rsidRPr="00A34388">
        <w:rPr>
          <w:b/>
          <w:sz w:val="24"/>
          <w:szCs w:val="24"/>
        </w:rPr>
        <w:t>By-Laws</w:t>
      </w:r>
      <w:r w:rsidR="00A34388" w:rsidRPr="00A34388">
        <w:rPr>
          <w:b/>
          <w:sz w:val="24"/>
          <w:szCs w:val="24"/>
        </w:rPr>
        <w:t xml:space="preserve"> Changes</w:t>
      </w:r>
    </w:p>
    <w:p w:rsidR="008B379A" w:rsidRDefault="008B379A" w:rsidP="007850DB">
      <w:pPr>
        <w:spacing w:after="0" w:line="240" w:lineRule="auto"/>
      </w:pPr>
    </w:p>
    <w:p w:rsidR="008B379A" w:rsidRDefault="008B379A" w:rsidP="007850DB">
      <w:pPr>
        <w:spacing w:after="0" w:line="240" w:lineRule="auto"/>
      </w:pPr>
      <w:r>
        <w:t xml:space="preserve">President-elect Guido </w:t>
      </w:r>
      <w:proofErr w:type="spellStart"/>
      <w:r>
        <w:t>Geerts</w:t>
      </w:r>
      <w:proofErr w:type="spellEnd"/>
      <w:r>
        <w:t xml:space="preserve"> reported on the by-law changes.  </w:t>
      </w:r>
      <w:r w:rsidR="00F66152">
        <w:t>President</w:t>
      </w:r>
      <w:r w:rsidR="00B36E8B">
        <w:t xml:space="preserve">-elect </w:t>
      </w:r>
      <w:proofErr w:type="spellStart"/>
      <w:r>
        <w:t>Geerts</w:t>
      </w:r>
      <w:proofErr w:type="spellEnd"/>
      <w:r>
        <w:t xml:space="preserve"> reported that thirty (30) members voted and all supported the by-law changes.  The new Vice President for practice and CPE Committees were now part of the Section</w:t>
      </w:r>
      <w:r w:rsidR="00F66152">
        <w:t>’s structure</w:t>
      </w:r>
      <w:r>
        <w:t xml:space="preserve">.  </w:t>
      </w:r>
    </w:p>
    <w:p w:rsidR="008B379A" w:rsidRDefault="008B379A" w:rsidP="007850DB">
      <w:pPr>
        <w:spacing w:after="0" w:line="240" w:lineRule="auto"/>
      </w:pPr>
    </w:p>
    <w:p w:rsidR="00A34388" w:rsidRDefault="00A34388" w:rsidP="00A34388">
      <w:pPr>
        <w:spacing w:after="0" w:line="240" w:lineRule="auto"/>
        <w:jc w:val="center"/>
        <w:rPr>
          <w:b/>
          <w:sz w:val="24"/>
          <w:szCs w:val="24"/>
        </w:rPr>
      </w:pPr>
      <w:r>
        <w:rPr>
          <w:b/>
          <w:sz w:val="24"/>
          <w:szCs w:val="24"/>
        </w:rPr>
        <w:t>Election of At-Large Members of the Nominating Committee</w:t>
      </w:r>
    </w:p>
    <w:p w:rsidR="00A34388" w:rsidRDefault="00A34388" w:rsidP="00A34388">
      <w:pPr>
        <w:spacing w:after="0" w:line="240" w:lineRule="auto"/>
        <w:jc w:val="center"/>
        <w:rPr>
          <w:b/>
          <w:sz w:val="24"/>
          <w:szCs w:val="24"/>
        </w:rPr>
      </w:pPr>
    </w:p>
    <w:p w:rsidR="00A34388" w:rsidRDefault="00A34388" w:rsidP="00A34388">
      <w:pPr>
        <w:spacing w:after="0" w:line="240" w:lineRule="auto"/>
      </w:pPr>
      <w:r>
        <w:t xml:space="preserve">President </w:t>
      </w:r>
      <w:proofErr w:type="spellStart"/>
      <w:r>
        <w:t>Geerts</w:t>
      </w:r>
      <w:proofErr w:type="spellEnd"/>
      <w:r>
        <w:t xml:space="preserve"> called for nominations for At-Large members of the Nominating Committee.  The following nominations were received:</w:t>
      </w:r>
    </w:p>
    <w:p w:rsidR="00A34388" w:rsidRDefault="00A34388" w:rsidP="00A34388">
      <w:pPr>
        <w:spacing w:after="0" w:line="240" w:lineRule="auto"/>
      </w:pPr>
    </w:p>
    <w:p w:rsidR="00A34388" w:rsidRPr="00B36E8B" w:rsidRDefault="00A34388" w:rsidP="00A34388">
      <w:pPr>
        <w:pStyle w:val="ListParagraph"/>
        <w:numPr>
          <w:ilvl w:val="0"/>
          <w:numId w:val="2"/>
        </w:numPr>
        <w:rPr>
          <w:rFonts w:asciiTheme="minorHAnsi" w:hAnsiTheme="minorHAnsi"/>
          <w:b/>
          <w:sz w:val="22"/>
        </w:rPr>
      </w:pPr>
      <w:r w:rsidRPr="00B36E8B">
        <w:rPr>
          <w:rFonts w:asciiTheme="minorHAnsi" w:hAnsiTheme="minorHAnsi"/>
          <w:b/>
        </w:rPr>
        <w:t>Stephanie Farewell</w:t>
      </w:r>
    </w:p>
    <w:p w:rsidR="00A34388" w:rsidRPr="00B36E8B" w:rsidRDefault="00A34388" w:rsidP="00A34388">
      <w:pPr>
        <w:pStyle w:val="ListParagraph"/>
        <w:numPr>
          <w:ilvl w:val="0"/>
          <w:numId w:val="2"/>
        </w:numPr>
        <w:rPr>
          <w:rFonts w:asciiTheme="minorHAnsi" w:hAnsiTheme="minorHAnsi"/>
          <w:b/>
          <w:sz w:val="22"/>
        </w:rPr>
      </w:pPr>
      <w:r w:rsidRPr="00B36E8B">
        <w:rPr>
          <w:rFonts w:asciiTheme="minorHAnsi" w:hAnsiTheme="minorHAnsi"/>
          <w:b/>
        </w:rPr>
        <w:t xml:space="preserve">Bridget </w:t>
      </w:r>
      <w:proofErr w:type="spellStart"/>
      <w:r w:rsidRPr="00B36E8B">
        <w:rPr>
          <w:rFonts w:asciiTheme="minorHAnsi" w:hAnsiTheme="minorHAnsi"/>
          <w:b/>
        </w:rPr>
        <w:t>Muehlmann</w:t>
      </w:r>
      <w:proofErr w:type="spellEnd"/>
    </w:p>
    <w:p w:rsidR="00A34388" w:rsidRDefault="00A34388" w:rsidP="00A34388"/>
    <w:p w:rsidR="00A34388" w:rsidRDefault="00A34388" w:rsidP="006E600B">
      <w:pPr>
        <w:spacing w:after="0" w:line="240" w:lineRule="auto"/>
      </w:pPr>
      <w:r>
        <w:t xml:space="preserve">Moved: Rob </w:t>
      </w:r>
      <w:proofErr w:type="spellStart"/>
      <w:r>
        <w:t>Nehmer</w:t>
      </w:r>
      <w:proofErr w:type="spellEnd"/>
      <w:r>
        <w:t xml:space="preserve"> moved that nominations be closed.</w:t>
      </w:r>
    </w:p>
    <w:p w:rsidR="00A34388" w:rsidRDefault="00A34388" w:rsidP="006E600B">
      <w:pPr>
        <w:spacing w:after="0" w:line="240" w:lineRule="auto"/>
      </w:pPr>
      <w:r>
        <w:t>Seconded: Greg Gerard</w:t>
      </w:r>
    </w:p>
    <w:p w:rsidR="00A34388" w:rsidRDefault="00A34388" w:rsidP="006E600B">
      <w:pPr>
        <w:spacing w:after="0" w:line="240" w:lineRule="auto"/>
      </w:pPr>
      <w:r>
        <w:t>Carried: Adopted unanimously.</w:t>
      </w:r>
    </w:p>
    <w:p w:rsidR="00A34388" w:rsidRDefault="00A34388" w:rsidP="00A34388">
      <w:pPr>
        <w:jc w:val="center"/>
        <w:rPr>
          <w:b/>
          <w:sz w:val="24"/>
          <w:szCs w:val="24"/>
        </w:rPr>
      </w:pPr>
      <w:r>
        <w:rPr>
          <w:b/>
          <w:sz w:val="24"/>
          <w:szCs w:val="24"/>
        </w:rPr>
        <w:t>Incoming President’s Remarks</w:t>
      </w:r>
    </w:p>
    <w:p w:rsidR="00A34388" w:rsidRDefault="00A34388" w:rsidP="00A34388">
      <w:r>
        <w:t>Incoming Pres</w:t>
      </w:r>
      <w:r w:rsidR="00AA0DE9">
        <w:t xml:space="preserve">ident Guido </w:t>
      </w:r>
      <w:proofErr w:type="spellStart"/>
      <w:r w:rsidR="00AA0DE9">
        <w:t>Geerts</w:t>
      </w:r>
      <w:proofErr w:type="spellEnd"/>
      <w:r w:rsidR="00AA0DE9">
        <w:t xml:space="preserve"> presented</w:t>
      </w:r>
      <w:r w:rsidR="00D54505">
        <w:t xml:space="preserve"> the Distinguished Service award to Past-</w:t>
      </w:r>
      <w:r w:rsidR="00AA0DE9">
        <w:t xml:space="preserve"> President Roger Debreceny.  Outgoing President Debreceny remarked that there is a team in place to continue the work of the Section.   </w:t>
      </w:r>
      <w:r w:rsidR="006E600B">
        <w:t xml:space="preserve">President </w:t>
      </w:r>
      <w:proofErr w:type="spellStart"/>
      <w:r w:rsidR="006E600B">
        <w:t>Geerts</w:t>
      </w:r>
      <w:proofErr w:type="spellEnd"/>
      <w:r w:rsidR="006E600B">
        <w:t xml:space="preserve"> discussed </w:t>
      </w:r>
      <w:r w:rsidR="00B36E8B">
        <w:t>his objectives for the next year:</w:t>
      </w:r>
    </w:p>
    <w:p w:rsidR="006E600B" w:rsidRDefault="00B36E8B" w:rsidP="006E600B">
      <w:pPr>
        <w:pStyle w:val="ListParagraph"/>
        <w:numPr>
          <w:ilvl w:val="0"/>
          <w:numId w:val="3"/>
        </w:numPr>
        <w:rPr>
          <w:rFonts w:asciiTheme="minorHAnsi" w:hAnsiTheme="minorHAnsi"/>
          <w:sz w:val="22"/>
        </w:rPr>
      </w:pPr>
      <w:r>
        <w:rPr>
          <w:rFonts w:asciiTheme="minorHAnsi" w:hAnsiTheme="minorHAnsi"/>
          <w:sz w:val="22"/>
        </w:rPr>
        <w:t>Further improve</w:t>
      </w:r>
      <w:r w:rsidR="00411B38">
        <w:rPr>
          <w:rFonts w:asciiTheme="minorHAnsi" w:hAnsiTheme="minorHAnsi"/>
          <w:sz w:val="22"/>
        </w:rPr>
        <w:t xml:space="preserve"> collaborat</w:t>
      </w:r>
      <w:r>
        <w:rPr>
          <w:rFonts w:asciiTheme="minorHAnsi" w:hAnsiTheme="minorHAnsi"/>
          <w:sz w:val="22"/>
        </w:rPr>
        <w:t xml:space="preserve">ion </w:t>
      </w:r>
      <w:r w:rsidR="00411B38">
        <w:rPr>
          <w:rFonts w:asciiTheme="minorHAnsi" w:hAnsiTheme="minorHAnsi"/>
          <w:sz w:val="22"/>
        </w:rPr>
        <w:t>with practitioners.  The Section is looking into creating an extra CPE session for practitioners.</w:t>
      </w:r>
    </w:p>
    <w:p w:rsidR="00411B38" w:rsidRDefault="00B36E8B" w:rsidP="006E600B">
      <w:pPr>
        <w:pStyle w:val="ListParagraph"/>
        <w:numPr>
          <w:ilvl w:val="0"/>
          <w:numId w:val="3"/>
        </w:numPr>
        <w:rPr>
          <w:rFonts w:asciiTheme="minorHAnsi" w:hAnsiTheme="minorHAnsi"/>
          <w:sz w:val="22"/>
        </w:rPr>
      </w:pPr>
      <w:r>
        <w:rPr>
          <w:rFonts w:asciiTheme="minorHAnsi" w:hAnsiTheme="minorHAnsi"/>
          <w:sz w:val="22"/>
        </w:rPr>
        <w:t>Creating an</w:t>
      </w:r>
      <w:r w:rsidR="00052EED">
        <w:rPr>
          <w:rFonts w:asciiTheme="minorHAnsi" w:hAnsiTheme="minorHAnsi"/>
          <w:sz w:val="22"/>
        </w:rPr>
        <w:t xml:space="preserve"> </w:t>
      </w:r>
      <w:r>
        <w:rPr>
          <w:rFonts w:asciiTheme="minorHAnsi" w:hAnsiTheme="minorHAnsi"/>
          <w:sz w:val="22"/>
        </w:rPr>
        <w:t>“</w:t>
      </w:r>
      <w:r w:rsidR="00052EED">
        <w:rPr>
          <w:rFonts w:asciiTheme="minorHAnsi" w:hAnsiTheme="minorHAnsi"/>
          <w:sz w:val="22"/>
        </w:rPr>
        <w:t>Operati</w:t>
      </w:r>
      <w:r>
        <w:rPr>
          <w:rFonts w:asciiTheme="minorHAnsi" w:hAnsiTheme="minorHAnsi"/>
          <w:sz w:val="22"/>
        </w:rPr>
        <w:t>o</w:t>
      </w:r>
      <w:r w:rsidR="00052EED">
        <w:rPr>
          <w:rFonts w:asciiTheme="minorHAnsi" w:hAnsiTheme="minorHAnsi"/>
          <w:sz w:val="22"/>
        </w:rPr>
        <w:t>n</w:t>
      </w:r>
      <w:r>
        <w:rPr>
          <w:rFonts w:asciiTheme="minorHAnsi" w:hAnsiTheme="minorHAnsi"/>
          <w:sz w:val="22"/>
        </w:rPr>
        <w:t>s</w:t>
      </w:r>
      <w:r w:rsidR="00052EED">
        <w:rPr>
          <w:rFonts w:asciiTheme="minorHAnsi" w:hAnsiTheme="minorHAnsi"/>
          <w:sz w:val="22"/>
        </w:rPr>
        <w:t xml:space="preserve"> Manual</w:t>
      </w:r>
      <w:r>
        <w:rPr>
          <w:rFonts w:asciiTheme="minorHAnsi" w:hAnsiTheme="minorHAnsi"/>
          <w:sz w:val="22"/>
        </w:rPr>
        <w:t>” for the Section</w:t>
      </w:r>
      <w:r w:rsidR="00052EED">
        <w:rPr>
          <w:rFonts w:asciiTheme="minorHAnsi" w:hAnsiTheme="minorHAnsi"/>
          <w:sz w:val="22"/>
        </w:rPr>
        <w:t>.</w:t>
      </w:r>
    </w:p>
    <w:p w:rsidR="00052EED" w:rsidRDefault="00B36E8B" w:rsidP="006E600B">
      <w:pPr>
        <w:pStyle w:val="ListParagraph"/>
        <w:numPr>
          <w:ilvl w:val="0"/>
          <w:numId w:val="3"/>
        </w:numPr>
        <w:rPr>
          <w:rFonts w:asciiTheme="minorHAnsi" w:hAnsiTheme="minorHAnsi"/>
          <w:sz w:val="22"/>
        </w:rPr>
      </w:pPr>
      <w:r>
        <w:rPr>
          <w:rFonts w:asciiTheme="minorHAnsi" w:hAnsiTheme="minorHAnsi"/>
          <w:sz w:val="22"/>
        </w:rPr>
        <w:t>Encourage research that better defines the Section’s “research identity</w:t>
      </w:r>
      <w:r w:rsidR="00052EED">
        <w:rPr>
          <w:rFonts w:asciiTheme="minorHAnsi" w:hAnsiTheme="minorHAnsi"/>
          <w:sz w:val="22"/>
        </w:rPr>
        <w:t>.</w:t>
      </w:r>
    </w:p>
    <w:p w:rsidR="00052EED" w:rsidRDefault="00052EED" w:rsidP="00052EED"/>
    <w:p w:rsidR="00052EED" w:rsidRDefault="00052EED" w:rsidP="00052EED">
      <w:pPr>
        <w:jc w:val="center"/>
        <w:rPr>
          <w:b/>
          <w:sz w:val="24"/>
          <w:szCs w:val="24"/>
        </w:rPr>
      </w:pPr>
      <w:r>
        <w:rPr>
          <w:b/>
          <w:sz w:val="24"/>
          <w:szCs w:val="24"/>
        </w:rPr>
        <w:t>Other Business</w:t>
      </w:r>
    </w:p>
    <w:p w:rsidR="00052EED" w:rsidRDefault="00052EED" w:rsidP="00052EED">
      <w:r>
        <w:t xml:space="preserve">Stewart Leech asked what day might the Section </w:t>
      </w:r>
      <w:proofErr w:type="gramStart"/>
      <w:r>
        <w:t>have</w:t>
      </w:r>
      <w:proofErr w:type="gramEnd"/>
      <w:r>
        <w:t xml:space="preserve"> its CPE section.  He asked if Sunday was the best day</w:t>
      </w:r>
      <w:r w:rsidR="00A44CBF">
        <w:t>.   Julie Smith David commented that if the Section wants industry people to attend the CPE then Thursday is probably the best choice.  She also suggested that we conduct a survey to see what emerging technologies members of the Section are interested in.</w:t>
      </w:r>
    </w:p>
    <w:p w:rsidR="00CB79EE" w:rsidRDefault="00CB79EE" w:rsidP="00CB79EE">
      <w:pPr>
        <w:jc w:val="center"/>
        <w:rPr>
          <w:b/>
          <w:sz w:val="24"/>
          <w:szCs w:val="24"/>
        </w:rPr>
      </w:pPr>
      <w:r>
        <w:rPr>
          <w:b/>
          <w:sz w:val="24"/>
          <w:szCs w:val="24"/>
        </w:rPr>
        <w:t>Adjournment</w:t>
      </w:r>
    </w:p>
    <w:p w:rsidR="00CB79EE" w:rsidRDefault="00CB79EE" w:rsidP="00CB79EE">
      <w:r>
        <w:t xml:space="preserve">Moved: </w:t>
      </w:r>
      <w:r w:rsidR="00E23EA0">
        <w:t>Stewart Leech motioned to adjourn the meeting at 3:35 pm</w:t>
      </w:r>
    </w:p>
    <w:p w:rsidR="00E23EA0" w:rsidRDefault="00E23EA0" w:rsidP="00CB79EE">
      <w:r>
        <w:t>Seconded: Stephanie Farewell</w:t>
      </w:r>
    </w:p>
    <w:p w:rsidR="00E23EA0" w:rsidRDefault="00E23EA0" w:rsidP="00CB79EE">
      <w:r>
        <w:t>Carried:  Adopted unanimously</w:t>
      </w:r>
    </w:p>
    <w:p w:rsidR="00E23EA0" w:rsidRDefault="00E23EA0" w:rsidP="00CB79EE">
      <w:r>
        <w:t>The next Annual Business Meeting will be held at the 2010 Annual Meeting in San Francisco, CA at a time and date to be determined.</w:t>
      </w:r>
    </w:p>
    <w:p w:rsidR="00E23EA0" w:rsidRDefault="00E23EA0" w:rsidP="00CB79EE"/>
    <w:p w:rsidR="00E23EA0" w:rsidRPr="00CB79EE" w:rsidRDefault="00E23EA0" w:rsidP="00CB79EE">
      <w:r>
        <w:t>Respectfully Submitted,  Graham Gal Secretary/Treasurer</w:t>
      </w:r>
    </w:p>
    <w:p w:rsidR="008B379A" w:rsidRDefault="008B379A" w:rsidP="007850DB">
      <w:pPr>
        <w:spacing w:after="0" w:line="240" w:lineRule="auto"/>
      </w:pPr>
    </w:p>
    <w:p w:rsidR="00B03EF4" w:rsidRDefault="00B03EF4">
      <w:r>
        <w:br w:type="page"/>
      </w:r>
    </w:p>
    <w:p w:rsidR="00B03EF4" w:rsidRDefault="00B03EF4" w:rsidP="00B03EF4">
      <w:r>
        <w:t>Appendix I – Report from Publications Committee</w:t>
      </w:r>
    </w:p>
    <w:p w:rsidR="00B03EF4" w:rsidRDefault="00B03EF4" w:rsidP="00B03EF4">
      <w:r>
        <w:t xml:space="preserve">To:  </w:t>
      </w:r>
      <w:r>
        <w:tab/>
        <w:t>Roger Debreceny, SET Chair</w:t>
      </w:r>
    </w:p>
    <w:p w:rsidR="00B03EF4" w:rsidRDefault="00B03EF4" w:rsidP="00B03EF4">
      <w:r>
        <w:t>From:</w:t>
      </w:r>
      <w:r>
        <w:tab/>
        <w:t xml:space="preserve">Andy </w:t>
      </w:r>
      <w:proofErr w:type="spellStart"/>
      <w:r>
        <w:t>Lymer</w:t>
      </w:r>
      <w:proofErr w:type="spellEnd"/>
      <w:r>
        <w:t xml:space="preserve">, Steve Sutton (Chair, SET Publications Committee), </w:t>
      </w:r>
      <w:proofErr w:type="spellStart"/>
      <w:proofErr w:type="gramStart"/>
      <w:r>
        <w:t>Miklos</w:t>
      </w:r>
      <w:proofErr w:type="spellEnd"/>
      <w:proofErr w:type="gramEnd"/>
      <w:r>
        <w:t xml:space="preserve"> </w:t>
      </w:r>
      <w:proofErr w:type="spellStart"/>
      <w:r>
        <w:t>Vasarhelyi</w:t>
      </w:r>
      <w:proofErr w:type="spellEnd"/>
    </w:p>
    <w:p w:rsidR="00B03EF4" w:rsidRDefault="00B03EF4" w:rsidP="00B03EF4">
      <w:r>
        <w:t>CC:</w:t>
      </w:r>
      <w:r>
        <w:tab/>
        <w:t>Dan O’Leary (</w:t>
      </w:r>
      <w:r w:rsidR="00EB1253" w:rsidRPr="00EB1253">
        <w:rPr>
          <w:i/>
        </w:rPr>
        <w:t>JETA</w:t>
      </w:r>
      <w:r>
        <w:t xml:space="preserve"> editor and ex-officio member), Bill McCarthy (incoming member)</w:t>
      </w:r>
    </w:p>
    <w:p w:rsidR="00B03EF4" w:rsidRDefault="00B03EF4" w:rsidP="00B03EF4">
      <w:pPr>
        <w:pBdr>
          <w:bottom w:val="single" w:sz="12" w:space="1" w:color="auto"/>
        </w:pBdr>
      </w:pPr>
      <w:r>
        <w:t>Date:</w:t>
      </w:r>
      <w:r>
        <w:tab/>
        <w:t>31 July 2009</w:t>
      </w:r>
    </w:p>
    <w:p w:rsidR="00B03EF4" w:rsidRDefault="00B03EF4" w:rsidP="00B03EF4"/>
    <w:p w:rsidR="00B03EF4" w:rsidRDefault="00B03EF4" w:rsidP="00B03EF4">
      <w:r>
        <w:t xml:space="preserve">Per the SET Chair’s request, our committee has examined the publication issues surrounding </w:t>
      </w:r>
      <w:r w:rsidR="00EB1253" w:rsidRPr="00EB1253">
        <w:rPr>
          <w:i/>
        </w:rPr>
        <w:t>JETA</w:t>
      </w:r>
      <w:r>
        <w:t xml:space="preserve"> and prepared recommendations for the executive board. While the request presumably was under the auspices of the need to stop publishing </w:t>
      </w:r>
      <w:r w:rsidR="00EB1253" w:rsidRPr="00EB1253">
        <w:rPr>
          <w:i/>
        </w:rPr>
        <w:t>JETA</w:t>
      </w:r>
      <w:r>
        <w:t xml:space="preserve"> in hardcopy format, we evaluated this request based on what we feel are the best practices for maximizing the value placed on publications.</w:t>
      </w:r>
    </w:p>
    <w:p w:rsidR="00B03EF4" w:rsidRDefault="00B03EF4" w:rsidP="00B03EF4"/>
    <w:p w:rsidR="00B03EF4" w:rsidRDefault="00B03EF4" w:rsidP="00B03EF4">
      <w:r>
        <w:t xml:space="preserve">We have explored the core costs associated with </w:t>
      </w:r>
      <w:r w:rsidR="00EB1253" w:rsidRPr="00EB1253">
        <w:rPr>
          <w:i/>
        </w:rPr>
        <w:t>JETA</w:t>
      </w:r>
      <w:r>
        <w:t xml:space="preserve">’s production in light of the information for which we were able to garner access. The fundamental issue that has to be considered is that it costs $37 per page for AAA to do its pre-press preparation work. This cost is a fixed cost allocation across all journals, thus even if we produced the manuscript ourselves in precise publication form before articles were transferred to </w:t>
      </w:r>
      <w:proofErr w:type="gramStart"/>
      <w:r>
        <w:t>AAA,</w:t>
      </w:r>
      <w:proofErr w:type="gramEnd"/>
      <w:r>
        <w:t xml:space="preserve"> we would still incur a cost of $37 per page. To put this in publication terms, our net dues collections and subscription/advertising revenue would cover production of only 135 pages per issue. Based on recent article lengths, this would mean that about 7 articles could be produced per year. This does not include printing and mailing any copies.</w:t>
      </w:r>
    </w:p>
    <w:p w:rsidR="00B03EF4" w:rsidRDefault="00B03EF4" w:rsidP="00B03EF4"/>
    <w:p w:rsidR="00B03EF4" w:rsidRDefault="00B03EF4" w:rsidP="00B03EF4">
      <w:r>
        <w:t>The SET section currently receives an equivalent amount of money to the above revenue in AAA workshops sponsored by the section. If we assume that revenue can be sustained at the current level, this is approximately the same amount of money that would be necessary to cover printing, mailing and postage for print issues. It should be noted that we incurred over $5,600 in such costs in order to provide 65 members and 3 libraries with hardcopy versions</w:t>
      </w:r>
      <w:proofErr w:type="gramStart"/>
      <w:r>
        <w:t>.(</w:t>
      </w:r>
      <w:proofErr w:type="gramEnd"/>
      <w:r>
        <w:t>over $80 per copy). This is distressing on two fronts in particular. First, we incurred $1,150 in mailing/postage costs for what appears to be the shipping of 68 subscription copies along with 3-5 copies per author. Second, initial estimates suggest that on-demand publishers could likely produce a single printing of an issue for less than $10. This is without apparent need for additional preparation costs as vendors such as Lulu.com will produce books from .</w:t>
      </w:r>
      <w:proofErr w:type="spellStart"/>
      <w:r>
        <w:t>pdf</w:t>
      </w:r>
      <w:proofErr w:type="spellEnd"/>
      <w:r>
        <w:t xml:space="preserve"> copy—copy </w:t>
      </w:r>
      <w:proofErr w:type="gramStart"/>
      <w:r>
        <w:t>we</w:t>
      </w:r>
      <w:proofErr w:type="gramEnd"/>
      <w:r>
        <w:t xml:space="preserve"> are already producing for the electronic version. Preliminary discussions with AAA Executive Director Tracey Sutherland indicate a potential willingness to work with the SET Section on the experimental use of on-demand publishing beginning as early as </w:t>
      </w:r>
      <w:proofErr w:type="gramStart"/>
      <w:r>
        <w:t>Fall</w:t>
      </w:r>
      <w:proofErr w:type="gramEnd"/>
      <w:r>
        <w:t>, 2009.</w:t>
      </w:r>
    </w:p>
    <w:p w:rsidR="00B03EF4" w:rsidRDefault="00B03EF4" w:rsidP="00B03EF4"/>
    <w:p w:rsidR="00B03EF4" w:rsidRDefault="00B03EF4" w:rsidP="00B03EF4">
      <w:r>
        <w:t xml:space="preserve">While the simple solution would be to drop the printed version of </w:t>
      </w:r>
      <w:r w:rsidR="00EB1253" w:rsidRPr="00EB1253">
        <w:rPr>
          <w:i/>
        </w:rPr>
        <w:t>JETA</w:t>
      </w:r>
      <w:r>
        <w:t xml:space="preserve">, this analysis is much more difficult as it cannot be quantified. Instead it raises a series of potential risks that should be considered. Will authors be equally willing to submit to an electronic-only journal? Will promotion and tenure committees place equal wait on an electronic-only journal? What are the long-run implications for the survival and growth of </w:t>
      </w:r>
      <w:r w:rsidR="00EB1253" w:rsidRPr="00EB1253">
        <w:rPr>
          <w:i/>
        </w:rPr>
        <w:t>JETA</w:t>
      </w:r>
      <w:r>
        <w:t>?</w:t>
      </w:r>
    </w:p>
    <w:p w:rsidR="00B03EF4" w:rsidRDefault="00B03EF4" w:rsidP="00B03EF4"/>
    <w:p w:rsidR="00B03EF4" w:rsidRDefault="00B03EF4" w:rsidP="00B03EF4">
      <w:r>
        <w:t xml:space="preserve">Our committee is unanimous in its position that </w:t>
      </w:r>
      <w:r w:rsidR="00EB1253" w:rsidRPr="00EB1253">
        <w:rPr>
          <w:i/>
        </w:rPr>
        <w:t>JETA</w:t>
      </w:r>
      <w:r>
        <w:t xml:space="preserve"> will be significantly and negatively affected if it were to move to an electronic-only format during its developmental stage. The committee believes this is not a practical option over the next several years. The section would be better off to use available funds from workshop revenue to provide printed publication. Given this position, our focus instead has shifted to consideration of how we reduce the cost of printed publication to a reasonable level. We focus on print cost because electronic costs are fixed per the AAA’s cost allocation approach. </w:t>
      </w:r>
    </w:p>
    <w:p w:rsidR="00B03EF4" w:rsidRDefault="00B03EF4" w:rsidP="00B03EF4"/>
    <w:p w:rsidR="00B03EF4" w:rsidRDefault="00B03EF4" w:rsidP="00B03EF4">
      <w:pPr>
        <w:spacing w:after="120"/>
      </w:pPr>
      <w:r>
        <w:rPr>
          <w:b/>
        </w:rPr>
        <w:t>Our Committee Recommendations:</w:t>
      </w:r>
    </w:p>
    <w:p w:rsidR="00B03EF4" w:rsidRDefault="00B03EF4" w:rsidP="00B03EF4">
      <w:pPr>
        <w:pStyle w:val="ListParagraph"/>
        <w:numPr>
          <w:ilvl w:val="0"/>
          <w:numId w:val="1"/>
        </w:numPr>
        <w:spacing w:after="120"/>
        <w:ind w:left="360"/>
        <w:contextualSpacing w:val="0"/>
      </w:pPr>
      <w:r>
        <w:t xml:space="preserve">Continue the production of a print version of </w:t>
      </w:r>
      <w:r w:rsidR="00EB1253" w:rsidRPr="00EB1253">
        <w:rPr>
          <w:i/>
        </w:rPr>
        <w:t>JETA</w:t>
      </w:r>
      <w:r>
        <w:t xml:space="preserve"> with a very limited print production. </w:t>
      </w:r>
    </w:p>
    <w:p w:rsidR="00B03EF4" w:rsidRDefault="00B03EF4" w:rsidP="00B03EF4">
      <w:pPr>
        <w:pStyle w:val="ListParagraph"/>
        <w:numPr>
          <w:ilvl w:val="0"/>
          <w:numId w:val="1"/>
        </w:numPr>
        <w:spacing w:after="120"/>
        <w:ind w:left="360"/>
        <w:contextualSpacing w:val="0"/>
      </w:pPr>
      <w:r>
        <w:t>Raise the price of print subscription for SET section members from $15 to $25 unless an on-demand print option can be put in place within a year at a cost below the $25..</w:t>
      </w:r>
    </w:p>
    <w:p w:rsidR="00B03EF4" w:rsidRDefault="00B03EF4" w:rsidP="00B03EF4">
      <w:pPr>
        <w:pStyle w:val="ListParagraph"/>
        <w:numPr>
          <w:ilvl w:val="0"/>
          <w:numId w:val="1"/>
        </w:numPr>
        <w:spacing w:after="120"/>
        <w:ind w:left="360"/>
        <w:contextualSpacing w:val="0"/>
      </w:pPr>
      <w:r>
        <w:t xml:space="preserve">Provide </w:t>
      </w:r>
      <w:r w:rsidR="00EB1253" w:rsidRPr="00EB1253">
        <w:rPr>
          <w:i/>
        </w:rPr>
        <w:t>JETA</w:t>
      </w:r>
      <w:r>
        <w:t xml:space="preserve"> authors with a .</w:t>
      </w:r>
      <w:proofErr w:type="spellStart"/>
      <w:r>
        <w:t>pdf</w:t>
      </w:r>
      <w:proofErr w:type="spellEnd"/>
      <w:r>
        <w:t xml:space="preserve"> or other electronic form of their final manuscript with the author having the right to send a single electronic copy to a given individual requesting an off-print copy. The author does </w:t>
      </w:r>
      <w:r w:rsidRPr="00747D07">
        <w:rPr>
          <w:u w:val="single"/>
        </w:rPr>
        <w:t>not</w:t>
      </w:r>
      <w:r>
        <w:t xml:space="preserve"> receive the rights to post such article on any website. This is a practice common with other publishers such as Elsevier. </w:t>
      </w:r>
    </w:p>
    <w:p w:rsidR="00B03EF4" w:rsidRDefault="00B03EF4" w:rsidP="00B03EF4">
      <w:pPr>
        <w:pStyle w:val="ListParagraph"/>
        <w:numPr>
          <w:ilvl w:val="0"/>
          <w:numId w:val="1"/>
        </w:numPr>
        <w:spacing w:after="120"/>
        <w:ind w:left="360"/>
        <w:contextualSpacing w:val="0"/>
      </w:pPr>
      <w:r>
        <w:t>Cease the provision of 3-5 copies of the print journal to each author and instead allow the author to order journal print copies at $25/copy at the time that the page proofs are processed by the author. This price should be adjusted over time based on actual on-demand costs once such an option is in place.</w:t>
      </w:r>
    </w:p>
    <w:p w:rsidR="00B03EF4" w:rsidRDefault="00B03EF4" w:rsidP="00B03EF4">
      <w:pPr>
        <w:pStyle w:val="ListParagraph"/>
        <w:numPr>
          <w:ilvl w:val="0"/>
          <w:numId w:val="1"/>
        </w:numPr>
        <w:spacing w:after="120"/>
        <w:ind w:left="360"/>
        <w:contextualSpacing w:val="0"/>
      </w:pPr>
      <w:r>
        <w:t xml:space="preserve">Encourage the SET Section Executive Committee to pursue through the AAA Executive Director and, if necessary, the AAA Council the option of producing </w:t>
      </w:r>
      <w:r w:rsidR="00EB1253" w:rsidRPr="00EB1253">
        <w:rPr>
          <w:i/>
        </w:rPr>
        <w:t>JETA</w:t>
      </w:r>
      <w:r>
        <w:t xml:space="preserve"> through on-demand publishing as print copies are needed of an issue. This would perhaps best be executed by having print copies ordered directly through the on-demand publisher with a profit margin returning to the SET Section. This option should be pursued immediately while the AAA is representative of executing such an option on an experimental basis with a section of our size.</w:t>
      </w:r>
    </w:p>
    <w:p w:rsidR="00B03EF4" w:rsidRDefault="00B03EF4" w:rsidP="00B03EF4">
      <w:pPr>
        <w:pStyle w:val="ListParagraph"/>
        <w:numPr>
          <w:ilvl w:val="0"/>
          <w:numId w:val="1"/>
        </w:numPr>
        <w:spacing w:after="120"/>
        <w:ind w:left="360"/>
        <w:contextualSpacing w:val="0"/>
      </w:pPr>
      <w:r>
        <w:t xml:space="preserve">Cap the number of targeted pages in an issue of </w:t>
      </w:r>
      <w:r w:rsidR="00EB1253" w:rsidRPr="00EB1253">
        <w:rPr>
          <w:i/>
        </w:rPr>
        <w:t>JETA</w:t>
      </w:r>
      <w:r>
        <w:t xml:space="preserve"> at 135 pages (approximately 6-7 articles) until print cost containment can be achieved. As print cost containment takes effect, the number of pages can be increased over time. If print costs were completely eliminated, or even made profitable, theoretically we could handle 270 pages per issue. However, AAA processing costs are likely to also increase and at that page level the section may want to move to two issues per year.</w:t>
      </w:r>
    </w:p>
    <w:p w:rsidR="00B03EF4" w:rsidRDefault="00B03EF4" w:rsidP="00B03EF4">
      <w:pPr>
        <w:pStyle w:val="ListParagraph"/>
        <w:numPr>
          <w:ilvl w:val="0"/>
          <w:numId w:val="1"/>
        </w:numPr>
        <w:ind w:left="360"/>
        <w:contextualSpacing w:val="0"/>
      </w:pPr>
      <w:r>
        <w:t>If the number and quality of submissions is such that more papers should be published in an issue, the editor should request a release of SET Section reserve funds to be used for publication of that year’s issue.</w:t>
      </w:r>
    </w:p>
    <w:p w:rsidR="00B03EF4" w:rsidRDefault="00B03EF4" w:rsidP="00B03EF4">
      <w:pPr>
        <w:pStyle w:val="ListParagraph"/>
        <w:numPr>
          <w:ilvl w:val="1"/>
          <w:numId w:val="1"/>
        </w:numPr>
        <w:ind w:left="720"/>
      </w:pPr>
      <w:proofErr w:type="spellStart"/>
      <w:r>
        <w:t>Vol</w:t>
      </w:r>
      <w:proofErr w:type="spellEnd"/>
      <w:r>
        <w:t xml:space="preserve"> 1 = 106 pages.</w:t>
      </w:r>
    </w:p>
    <w:p w:rsidR="00B03EF4" w:rsidRDefault="00B03EF4" w:rsidP="00B03EF4">
      <w:pPr>
        <w:pStyle w:val="ListParagraph"/>
        <w:numPr>
          <w:ilvl w:val="1"/>
          <w:numId w:val="1"/>
        </w:numPr>
        <w:ind w:left="720"/>
      </w:pPr>
      <w:proofErr w:type="spellStart"/>
      <w:r>
        <w:t>Vol</w:t>
      </w:r>
      <w:proofErr w:type="spellEnd"/>
      <w:r>
        <w:t xml:space="preserve"> 2 = 90 pages.</w:t>
      </w:r>
    </w:p>
    <w:p w:rsidR="00B03EF4" w:rsidRDefault="00B03EF4" w:rsidP="00B03EF4">
      <w:pPr>
        <w:pStyle w:val="ListParagraph"/>
        <w:numPr>
          <w:ilvl w:val="1"/>
          <w:numId w:val="1"/>
        </w:numPr>
        <w:ind w:left="720"/>
      </w:pPr>
      <w:proofErr w:type="spellStart"/>
      <w:r>
        <w:t>Vol</w:t>
      </w:r>
      <w:proofErr w:type="spellEnd"/>
      <w:r>
        <w:t xml:space="preserve"> 3 = 145 pages</w:t>
      </w:r>
    </w:p>
    <w:p w:rsidR="00B03EF4" w:rsidRDefault="00B03EF4" w:rsidP="00B03EF4">
      <w:pPr>
        <w:pStyle w:val="ListParagraph"/>
        <w:numPr>
          <w:ilvl w:val="1"/>
          <w:numId w:val="1"/>
        </w:numPr>
        <w:ind w:left="720"/>
      </w:pPr>
      <w:proofErr w:type="spellStart"/>
      <w:r>
        <w:t>Vol</w:t>
      </w:r>
      <w:proofErr w:type="spellEnd"/>
      <w:r>
        <w:t xml:space="preserve"> 4 = 213 pages (includes special issue section)</w:t>
      </w:r>
    </w:p>
    <w:p w:rsidR="00BC366B" w:rsidRDefault="00B03EF4" w:rsidP="00B03EF4">
      <w:pPr>
        <w:pStyle w:val="ListParagraph"/>
        <w:numPr>
          <w:ilvl w:val="1"/>
          <w:numId w:val="1"/>
        </w:numPr>
        <w:ind w:left="720"/>
      </w:pPr>
      <w:proofErr w:type="spellStart"/>
      <w:r>
        <w:t>Vol</w:t>
      </w:r>
      <w:proofErr w:type="spellEnd"/>
      <w:r>
        <w:t xml:space="preserve"> 5 = 242 pages (includes special issue section)</w:t>
      </w:r>
    </w:p>
    <w:p w:rsidR="00BC366B" w:rsidRDefault="00BC366B">
      <w:pPr>
        <w:rPr>
          <w:rFonts w:ascii="Times New Roman" w:eastAsia="Calibri" w:hAnsi="Times New Roman" w:cs="Times New Roman"/>
          <w:sz w:val="24"/>
        </w:rPr>
      </w:pPr>
      <w:r>
        <w:br w:type="page"/>
      </w:r>
    </w:p>
    <w:p w:rsidR="00B03EF4" w:rsidRDefault="00BC366B" w:rsidP="00BC366B">
      <w:pPr>
        <w:pStyle w:val="ListParagraph"/>
      </w:pPr>
      <w:r>
        <w:t xml:space="preserve">Appendix 2 – </w:t>
      </w:r>
      <w:r w:rsidR="00EB1253" w:rsidRPr="00EB1253">
        <w:rPr>
          <w:i/>
        </w:rPr>
        <w:t>JETA</w:t>
      </w:r>
      <w:r>
        <w:t xml:space="preserve"> Editor’s Report</w:t>
      </w:r>
    </w:p>
    <w:p w:rsidR="00BC366B" w:rsidRDefault="00BC366B" w:rsidP="00BC366B">
      <w:pPr>
        <w:jc w:val="center"/>
        <w:rPr>
          <w:b/>
          <w:bCs/>
        </w:rPr>
      </w:pPr>
      <w:r>
        <w:rPr>
          <w:b/>
          <w:bCs/>
        </w:rPr>
        <w:t>Format for Annual Editor Report</w:t>
      </w:r>
    </w:p>
    <w:p w:rsidR="00BC366B" w:rsidRDefault="00BC366B" w:rsidP="00BC366B">
      <w:pPr>
        <w:jc w:val="center"/>
        <w:rPr>
          <w:b/>
          <w:bCs/>
        </w:rPr>
      </w:pPr>
      <w:r>
        <w:rPr>
          <w:b/>
          <w:bCs/>
        </w:rPr>
        <w:t>AAA Journals</w:t>
      </w:r>
    </w:p>
    <w:p w:rsidR="00BC366B" w:rsidRDefault="00BC366B" w:rsidP="00BC366B">
      <w:pPr>
        <w:jc w:val="center"/>
        <w:rPr>
          <w:b/>
          <w:bCs/>
        </w:rPr>
      </w:pPr>
      <w:r w:rsidRPr="00C46C19">
        <w:rPr>
          <w:bCs/>
          <w:sz w:val="18"/>
          <w:szCs w:val="18"/>
        </w:rPr>
        <w:t>(</w:t>
      </w:r>
      <w:r>
        <w:rPr>
          <w:bCs/>
          <w:sz w:val="18"/>
          <w:szCs w:val="18"/>
        </w:rPr>
        <w:t>5</w:t>
      </w:r>
      <w:r w:rsidRPr="00C46C19">
        <w:rPr>
          <w:bCs/>
          <w:sz w:val="18"/>
          <w:szCs w:val="18"/>
        </w:rPr>
        <w:t>-</w:t>
      </w:r>
      <w:r>
        <w:rPr>
          <w:bCs/>
          <w:sz w:val="18"/>
          <w:szCs w:val="18"/>
        </w:rPr>
        <w:t>14-09</w:t>
      </w:r>
      <w:r w:rsidRPr="00C46C19">
        <w:rPr>
          <w:bCs/>
          <w:sz w:val="18"/>
          <w:szCs w:val="18"/>
        </w:rPr>
        <w:t>)</w:t>
      </w:r>
    </w:p>
    <w:p w:rsidR="00BC366B" w:rsidRPr="000C28C5" w:rsidRDefault="00BC366B" w:rsidP="00BC366B">
      <w:pPr>
        <w:jc w:val="center"/>
        <w:rPr>
          <w:iCs/>
        </w:rPr>
      </w:pPr>
    </w:p>
    <w:p w:rsidR="00BC366B" w:rsidRPr="00715138" w:rsidRDefault="00BC366B" w:rsidP="00BC366B">
      <w:pPr>
        <w:rPr>
          <w:i/>
        </w:rPr>
      </w:pPr>
      <w:r w:rsidRPr="00715138">
        <w:rPr>
          <w:i/>
        </w:rPr>
        <w:t>Summary of the report and reporting procedures</w:t>
      </w:r>
      <w:r>
        <w:rPr>
          <w:i/>
        </w:rPr>
        <w:t>:</w:t>
      </w:r>
    </w:p>
    <w:p w:rsidR="00BC366B" w:rsidRDefault="00BC366B" w:rsidP="00BC366B">
      <w:r>
        <w:t>Editors of all AAA association-wide and section journals should provide an annual report on their journal.  The report should include two main parts:  (1) an overview of the editorial process and the journal’s operations for the previous year(s), and (2) descriptive statistics of key factors (see the tables below).  Editors of section journals may adapt the report to include descriptive statistics of key factors that best reflect the specific nature of their journal while also including an overview section in their report.</w:t>
      </w:r>
    </w:p>
    <w:p w:rsidR="00BC366B" w:rsidRDefault="00BC366B" w:rsidP="00BC366B"/>
    <w:p w:rsidR="00BC366B" w:rsidRDefault="00BC366B" w:rsidP="00BC366B">
      <w:pPr>
        <w:ind w:firstLine="720"/>
      </w:pPr>
      <w:r>
        <w:t>Editors should submit their annual report to the AAA staff in advance of the AAA annual meeting (i.e., by July 15</w:t>
      </w:r>
      <w:r w:rsidRPr="000C28C5">
        <w:rPr>
          <w:vertAlign w:val="superscript"/>
        </w:rPr>
        <w:t>th</w:t>
      </w:r>
      <w:r>
        <w:t xml:space="preserve"> of each year).  Editors should also publish their annual report in the last issue of the journal each year to inform readers of the journal of its editorial process and operating statistics.  </w:t>
      </w:r>
    </w:p>
    <w:p w:rsidR="00BC366B" w:rsidRDefault="00BC366B" w:rsidP="00BC366B">
      <w:pPr>
        <w:ind w:firstLine="720"/>
      </w:pPr>
    </w:p>
    <w:p w:rsidR="00BC366B" w:rsidRDefault="00BC366B" w:rsidP="00BC366B">
      <w:pPr>
        <w:ind w:firstLine="720"/>
      </w:pPr>
      <w:r>
        <w:t xml:space="preserve">The Publications Committee reviews the editor reports for all of the AAA association-wide and section journals.  The AAA Executive Committee reviews editor reports of the three association-wide journals and may also do so for the section journals.    </w:t>
      </w:r>
    </w:p>
    <w:p w:rsidR="00BC366B" w:rsidRDefault="00BC366B" w:rsidP="00BC366B"/>
    <w:p w:rsidR="00BC366B" w:rsidRPr="00715138" w:rsidRDefault="00BC366B" w:rsidP="00BC366B">
      <w:pPr>
        <w:rPr>
          <w:i/>
        </w:rPr>
      </w:pPr>
      <w:r>
        <w:rPr>
          <w:i/>
        </w:rPr>
        <w:t>The report</w:t>
      </w:r>
      <w:r w:rsidRPr="00715138">
        <w:rPr>
          <w:i/>
        </w:rPr>
        <w:t xml:space="preserve"> overview:</w:t>
      </w:r>
    </w:p>
    <w:p w:rsidR="00BC366B" w:rsidRPr="009B1BA0" w:rsidRDefault="00BC366B" w:rsidP="00BC366B">
      <w:pPr>
        <w:rPr>
          <w:iCs/>
        </w:rPr>
      </w:pPr>
      <w:r>
        <w:t xml:space="preserve">The overview section should include a discussion of the editorial process – i.e., an explanation of </w:t>
      </w:r>
      <w:r w:rsidRPr="009B1BA0">
        <w:rPr>
          <w:iCs/>
        </w:rPr>
        <w:t>the procedures followed in the editorial process</w:t>
      </w:r>
      <w:r>
        <w:rPr>
          <w:iCs/>
        </w:rPr>
        <w:t>,</w:t>
      </w:r>
      <w:r w:rsidRPr="009B1BA0">
        <w:rPr>
          <w:iCs/>
        </w:rPr>
        <w:t xml:space="preserve"> beginning with receipt of </w:t>
      </w:r>
      <w:r>
        <w:rPr>
          <w:iCs/>
        </w:rPr>
        <w:t xml:space="preserve">a submitted manuscript </w:t>
      </w:r>
      <w:r w:rsidRPr="009B1BA0">
        <w:rPr>
          <w:iCs/>
        </w:rPr>
        <w:t>to the assignment of reviewers</w:t>
      </w:r>
      <w:r>
        <w:rPr>
          <w:iCs/>
        </w:rPr>
        <w:t>,</w:t>
      </w:r>
      <w:r w:rsidRPr="009B1BA0">
        <w:rPr>
          <w:iCs/>
        </w:rPr>
        <w:t xml:space="preserve"> including:</w:t>
      </w:r>
    </w:p>
    <w:p w:rsidR="00BC366B" w:rsidRPr="009B1BA0" w:rsidRDefault="00BC366B" w:rsidP="00BC366B">
      <w:pPr>
        <w:numPr>
          <w:ilvl w:val="0"/>
          <w:numId w:val="4"/>
        </w:numPr>
        <w:spacing w:after="0" w:line="240" w:lineRule="auto"/>
        <w:rPr>
          <w:iCs/>
        </w:rPr>
      </w:pPr>
      <w:r w:rsidRPr="009B1BA0">
        <w:rPr>
          <w:iCs/>
        </w:rPr>
        <w:t>Role of the editor, associate editor, and reviewer</w:t>
      </w:r>
      <w:r>
        <w:rPr>
          <w:iCs/>
        </w:rPr>
        <w:t>(s)</w:t>
      </w:r>
      <w:r w:rsidRPr="009B1BA0">
        <w:rPr>
          <w:iCs/>
        </w:rPr>
        <w:t>.</w:t>
      </w:r>
    </w:p>
    <w:p w:rsidR="00BC366B" w:rsidRPr="009B1BA0" w:rsidRDefault="00BC366B" w:rsidP="00BC366B">
      <w:pPr>
        <w:numPr>
          <w:ilvl w:val="0"/>
          <w:numId w:val="4"/>
        </w:numPr>
        <w:spacing w:after="0" w:line="240" w:lineRule="auto"/>
        <w:rPr>
          <w:iCs/>
        </w:rPr>
      </w:pPr>
      <w:r w:rsidRPr="009B1BA0">
        <w:rPr>
          <w:iCs/>
        </w:rPr>
        <w:t xml:space="preserve">Procedures for assigning an associate editor </w:t>
      </w:r>
      <w:r>
        <w:rPr>
          <w:iCs/>
        </w:rPr>
        <w:t xml:space="preserve">or the senior editor </w:t>
      </w:r>
      <w:r w:rsidRPr="009B1BA0">
        <w:rPr>
          <w:iCs/>
        </w:rPr>
        <w:t>to a submission.</w:t>
      </w:r>
    </w:p>
    <w:p w:rsidR="00BC366B" w:rsidRPr="009B1BA0" w:rsidRDefault="00BC366B" w:rsidP="00BC366B">
      <w:pPr>
        <w:numPr>
          <w:ilvl w:val="0"/>
          <w:numId w:val="4"/>
        </w:numPr>
        <w:spacing w:after="0" w:line="240" w:lineRule="auto"/>
        <w:rPr>
          <w:iCs/>
        </w:rPr>
      </w:pPr>
      <w:r w:rsidRPr="009B1BA0">
        <w:rPr>
          <w:iCs/>
        </w:rPr>
        <w:t>Procedures for selecting reviewers and number of reviewers.</w:t>
      </w:r>
    </w:p>
    <w:p w:rsidR="00BC366B" w:rsidRPr="009B1BA0" w:rsidRDefault="00BC366B" w:rsidP="00BC366B">
      <w:pPr>
        <w:numPr>
          <w:ilvl w:val="0"/>
          <w:numId w:val="4"/>
        </w:numPr>
        <w:spacing w:after="0" w:line="240" w:lineRule="auto"/>
        <w:rPr>
          <w:iCs/>
        </w:rPr>
      </w:pPr>
      <w:r w:rsidRPr="009B1BA0">
        <w:rPr>
          <w:iCs/>
        </w:rPr>
        <w:t xml:space="preserve">Who ultimately </w:t>
      </w:r>
      <w:r>
        <w:rPr>
          <w:iCs/>
        </w:rPr>
        <w:t xml:space="preserve">is </w:t>
      </w:r>
      <w:r w:rsidRPr="009B1BA0">
        <w:rPr>
          <w:iCs/>
        </w:rPr>
        <w:t xml:space="preserve">responsible for the editorial </w:t>
      </w:r>
      <w:proofErr w:type="gramStart"/>
      <w:r w:rsidRPr="009B1BA0">
        <w:rPr>
          <w:iCs/>
        </w:rPr>
        <w:t>decision</w:t>
      </w:r>
      <w:r>
        <w:rPr>
          <w:iCs/>
        </w:rPr>
        <w:t>.</w:t>
      </w:r>
      <w:proofErr w:type="gramEnd"/>
    </w:p>
    <w:p w:rsidR="00BC366B" w:rsidRPr="009B1BA0" w:rsidRDefault="00BC366B" w:rsidP="00BC366B">
      <w:pPr>
        <w:numPr>
          <w:ilvl w:val="0"/>
          <w:numId w:val="4"/>
        </w:numPr>
        <w:spacing w:after="0" w:line="240" w:lineRule="auto"/>
        <w:rPr>
          <w:iCs/>
        </w:rPr>
      </w:pPr>
      <w:r w:rsidRPr="009B1BA0">
        <w:rPr>
          <w:iCs/>
        </w:rPr>
        <w:t>Changes in the process, if any, from prior years.</w:t>
      </w:r>
    </w:p>
    <w:p w:rsidR="00BC366B" w:rsidRPr="00715138" w:rsidRDefault="00BC366B" w:rsidP="00BC366B">
      <w:pPr>
        <w:rPr>
          <w:iCs/>
        </w:rPr>
      </w:pPr>
    </w:p>
    <w:p w:rsidR="00BC366B" w:rsidRDefault="00BC366B" w:rsidP="00BC366B">
      <w:pPr>
        <w:rPr>
          <w:bCs/>
          <w:i/>
        </w:rPr>
      </w:pPr>
      <w:r w:rsidRPr="00715138">
        <w:rPr>
          <w:bCs/>
          <w:i/>
        </w:rPr>
        <w:t>The report’s editorial and publication statistics:</w:t>
      </w:r>
    </w:p>
    <w:p w:rsidR="00BC366B" w:rsidRDefault="00BC366B" w:rsidP="00BC366B">
      <w:pPr>
        <w:rPr>
          <w:bCs/>
        </w:rPr>
      </w:pPr>
      <w:r>
        <w:rPr>
          <w:bCs/>
        </w:rPr>
        <w:t>See the suggested tables shown on the following pages.</w:t>
      </w:r>
    </w:p>
    <w:p w:rsidR="00BC366B" w:rsidRDefault="00BC366B" w:rsidP="00BC366B">
      <w:pPr>
        <w:rPr>
          <w:bCs/>
        </w:rPr>
      </w:pPr>
    </w:p>
    <w:p w:rsidR="00BC366B" w:rsidRPr="005D548D" w:rsidRDefault="00BC366B" w:rsidP="00BC366B">
      <w:pPr>
        <w:rPr>
          <w:bCs/>
          <w:i/>
        </w:rPr>
      </w:pPr>
      <w:r w:rsidRPr="005D548D">
        <w:rPr>
          <w:bCs/>
          <w:i/>
        </w:rPr>
        <w:t>Transition to new report</w:t>
      </w:r>
      <w:r>
        <w:rPr>
          <w:bCs/>
          <w:i/>
        </w:rPr>
        <w:t xml:space="preserve"> format</w:t>
      </w:r>
      <w:r w:rsidRPr="005D548D">
        <w:rPr>
          <w:bCs/>
          <w:i/>
        </w:rPr>
        <w:t>:</w:t>
      </w:r>
    </w:p>
    <w:p w:rsidR="00BC366B" w:rsidRDefault="00BC366B" w:rsidP="00BC366B">
      <w:pPr>
        <w:rPr>
          <w:bCs/>
        </w:rPr>
      </w:pPr>
      <w:r>
        <w:rPr>
          <w:bCs/>
        </w:rPr>
        <w:t xml:space="preserve">Editors should adopt as much as possible of the new annual report format for reports submitted </w:t>
      </w:r>
      <w:proofErr w:type="gramStart"/>
      <w:r>
        <w:rPr>
          <w:bCs/>
        </w:rPr>
        <w:t>Summer</w:t>
      </w:r>
      <w:proofErr w:type="gramEnd"/>
      <w:r>
        <w:rPr>
          <w:bCs/>
        </w:rPr>
        <w:t xml:space="preserve"> 2009. For subsequent years, all reports should follow the substance of the new format.</w:t>
      </w:r>
    </w:p>
    <w:p w:rsidR="00BC366B" w:rsidRPr="00715138" w:rsidRDefault="00BC366B" w:rsidP="00BC366B">
      <w:pPr>
        <w:rPr>
          <w:bCs/>
        </w:rPr>
      </w:pPr>
      <w:r>
        <w:rPr>
          <w:bCs/>
        </w:rPr>
        <w:tab/>
        <w:t>Some of the tables below require data from multiple years that may not be available when the data have not previously been collected.  In that case, editors should build up the required data for prior years as they become available over time.</w:t>
      </w:r>
    </w:p>
    <w:p w:rsidR="00BC366B" w:rsidRDefault="00BC366B" w:rsidP="00BC366B">
      <w:pPr>
        <w:rPr>
          <w:i/>
          <w:iCs/>
        </w:rPr>
      </w:pPr>
    </w:p>
    <w:p w:rsidR="00BC366B" w:rsidRDefault="00BC366B" w:rsidP="00BC366B">
      <w:pPr>
        <w:rPr>
          <w:i/>
          <w:iCs/>
        </w:rPr>
      </w:pPr>
    </w:p>
    <w:p w:rsidR="00BC366B" w:rsidRDefault="00BC366B" w:rsidP="00BC366B">
      <w:pPr>
        <w:rPr>
          <w:b/>
          <w:iCs/>
        </w:rPr>
      </w:pPr>
      <w:r>
        <w:rPr>
          <w:b/>
          <w:iCs/>
        </w:rPr>
        <w:br w:type="page"/>
      </w:r>
      <w:r w:rsidRPr="00C81872">
        <w:rPr>
          <w:b/>
          <w:iCs/>
        </w:rPr>
        <w:t>Discussion of the Editorial Process</w:t>
      </w:r>
    </w:p>
    <w:p w:rsidR="00BC366B" w:rsidRDefault="00BC366B" w:rsidP="00BC366B">
      <w:pPr>
        <w:rPr>
          <w:b/>
          <w:iCs/>
        </w:rPr>
      </w:pPr>
    </w:p>
    <w:p w:rsidR="00BC366B" w:rsidRDefault="00BC366B" w:rsidP="00BC366B">
      <w:pPr>
        <w:rPr>
          <w:iCs/>
        </w:rPr>
      </w:pPr>
      <w:r>
        <w:rPr>
          <w:iCs/>
        </w:rPr>
        <w:t>For each paper, I choose three reviewers.   I do not make a decision until at least two reviewers have given me their reviews.  Unfortunately, in some cases this means that I need to get new reviewers since the originally chosen reviews are not always timely.</w:t>
      </w:r>
    </w:p>
    <w:p w:rsidR="00BC366B" w:rsidRDefault="00BC366B" w:rsidP="00BC366B">
      <w:pPr>
        <w:rPr>
          <w:iCs/>
        </w:rPr>
      </w:pPr>
    </w:p>
    <w:p w:rsidR="00BC366B" w:rsidRDefault="00BC366B" w:rsidP="00BC366B">
      <w:pPr>
        <w:rPr>
          <w:iCs/>
        </w:rPr>
      </w:pPr>
      <w:r>
        <w:rPr>
          <w:iCs/>
        </w:rPr>
        <w:t xml:space="preserve">Reviewers often are chosen from the references to the paper.  </w:t>
      </w:r>
      <w:r w:rsidRPr="00C81872">
        <w:rPr>
          <w:iCs/>
        </w:rPr>
        <w:t>Since the journal is a section journal, I rely heavily on the judgments of the reviewers</w:t>
      </w:r>
      <w:r>
        <w:rPr>
          <w:iCs/>
        </w:rPr>
        <w:t>, since they are typically “voices of the section</w:t>
      </w:r>
      <w:r w:rsidRPr="00C81872">
        <w:rPr>
          <w:iCs/>
        </w:rPr>
        <w:t>.</w:t>
      </w:r>
      <w:r>
        <w:rPr>
          <w:iCs/>
        </w:rPr>
        <w:t>”  For the papers submitted over the period June 2008 to June 2009, I had only one case where at least two reviewers did not completely agree, and that was a case of one indicating rejection and the other indicating major revision.</w:t>
      </w:r>
    </w:p>
    <w:p w:rsidR="00BC366B" w:rsidRDefault="00BC366B" w:rsidP="00BC366B">
      <w:pPr>
        <w:rPr>
          <w:iCs/>
        </w:rPr>
      </w:pPr>
    </w:p>
    <w:p w:rsidR="00BC366B" w:rsidRDefault="00BC366B" w:rsidP="00BC366B">
      <w:pPr>
        <w:rPr>
          <w:iCs/>
        </w:rPr>
      </w:pPr>
      <w:r>
        <w:rPr>
          <w:iCs/>
        </w:rPr>
        <w:t>This is my first year as editor so I do not know if the process is the same or different than years past.</w:t>
      </w:r>
    </w:p>
    <w:p w:rsidR="00BC366B" w:rsidRDefault="00BC366B" w:rsidP="00BC366B">
      <w:pPr>
        <w:rPr>
          <w:iCs/>
        </w:rPr>
      </w:pPr>
    </w:p>
    <w:p w:rsidR="00BC366B" w:rsidRDefault="00BC366B" w:rsidP="00BC366B">
      <w:pPr>
        <w:rPr>
          <w:iCs/>
        </w:rPr>
      </w:pPr>
      <w:r>
        <w:rPr>
          <w:iCs/>
        </w:rPr>
        <w:t>The requested exhibits and tables are listed below.</w:t>
      </w:r>
    </w:p>
    <w:p w:rsidR="00BC366B" w:rsidRDefault="00BC366B" w:rsidP="00BC366B">
      <w:pPr>
        <w:rPr>
          <w:iCs/>
        </w:rPr>
      </w:pPr>
    </w:p>
    <w:p w:rsidR="00BC366B" w:rsidRDefault="00BC366B" w:rsidP="00BC366B"/>
    <w:tbl>
      <w:tblPr>
        <w:tblW w:w="0" w:type="auto"/>
        <w:tblLook w:val="0000"/>
      </w:tblPr>
      <w:tblGrid>
        <w:gridCol w:w="922"/>
        <w:gridCol w:w="1295"/>
        <w:gridCol w:w="1444"/>
        <w:gridCol w:w="1657"/>
        <w:gridCol w:w="1352"/>
        <w:gridCol w:w="1176"/>
        <w:gridCol w:w="1010"/>
      </w:tblGrid>
      <w:tr w:rsidR="00BC366B" w:rsidTr="00EB1253">
        <w:trPr>
          <w:cantSplit/>
        </w:trPr>
        <w:tc>
          <w:tcPr>
            <w:tcW w:w="8856" w:type="dxa"/>
            <w:gridSpan w:val="7"/>
            <w:tcBorders>
              <w:top w:val="single" w:sz="12" w:space="0" w:color="auto"/>
            </w:tcBorders>
          </w:tcPr>
          <w:p w:rsidR="00BC366B" w:rsidRDefault="00BC366B" w:rsidP="00EB1253">
            <w:pPr>
              <w:jc w:val="center"/>
            </w:pPr>
            <w:r>
              <w:t>TABLE 1</w:t>
            </w:r>
          </w:p>
          <w:p w:rsidR="00BC366B" w:rsidRPr="00B301EC" w:rsidRDefault="00BC366B" w:rsidP="00EB1253">
            <w:pPr>
              <w:jc w:val="center"/>
            </w:pPr>
            <w:r>
              <w:t xml:space="preserve">Annual Activity Summary – For the Journal Year ended </w:t>
            </w:r>
            <w:r w:rsidRPr="00B301EC">
              <w:t xml:space="preserve">(e.g., May 31, </w:t>
            </w:r>
            <w:r>
              <w:t>2009</w:t>
            </w:r>
            <w:r w:rsidRPr="00B301EC">
              <w:t>)</w:t>
            </w:r>
          </w:p>
          <w:p w:rsidR="00BC366B" w:rsidRDefault="00BC366B" w:rsidP="00EB1253">
            <w:pPr>
              <w:jc w:val="center"/>
            </w:pPr>
            <w:r>
              <w:t>(Provide data for at least the last 3 years)</w:t>
            </w:r>
          </w:p>
        </w:tc>
      </w:tr>
      <w:tr w:rsidR="00BC366B" w:rsidTr="00EB1253">
        <w:trPr>
          <w:cantSplit/>
        </w:trPr>
        <w:tc>
          <w:tcPr>
            <w:tcW w:w="922" w:type="dxa"/>
            <w:tcBorders>
              <w:bottom w:val="single" w:sz="4" w:space="0" w:color="auto"/>
            </w:tcBorders>
          </w:tcPr>
          <w:p w:rsidR="00BC366B" w:rsidRDefault="00BC366B" w:rsidP="00EB1253">
            <w:pPr>
              <w:jc w:val="center"/>
            </w:pPr>
          </w:p>
          <w:p w:rsidR="00BC366B" w:rsidRDefault="00BC366B" w:rsidP="00EB1253">
            <w:pPr>
              <w:jc w:val="center"/>
            </w:pPr>
          </w:p>
          <w:p w:rsidR="00BC366B" w:rsidRDefault="00BC366B" w:rsidP="00EB1253">
            <w:pPr>
              <w:jc w:val="center"/>
            </w:pPr>
          </w:p>
          <w:p w:rsidR="00BC366B" w:rsidRDefault="00BC366B" w:rsidP="00EB1253">
            <w:pPr>
              <w:jc w:val="center"/>
            </w:pPr>
          </w:p>
          <w:p w:rsidR="00BC366B" w:rsidRDefault="00BC366B" w:rsidP="00EB1253">
            <w:pPr>
              <w:jc w:val="center"/>
            </w:pPr>
            <w:r>
              <w:t>Year</w:t>
            </w:r>
          </w:p>
        </w:tc>
        <w:tc>
          <w:tcPr>
            <w:tcW w:w="1295" w:type="dxa"/>
            <w:tcBorders>
              <w:bottom w:val="single" w:sz="4" w:space="0" w:color="auto"/>
            </w:tcBorders>
          </w:tcPr>
          <w:p w:rsidR="00BC366B" w:rsidRDefault="00BC366B" w:rsidP="00EB1253">
            <w:pPr>
              <w:jc w:val="center"/>
            </w:pPr>
            <w:r>
              <w:t># In-Process, Beginning of Year</w:t>
            </w:r>
          </w:p>
          <w:p w:rsidR="00BC366B" w:rsidRDefault="00BC366B" w:rsidP="00EB1253">
            <w:pPr>
              <w:jc w:val="center"/>
            </w:pPr>
            <w:r>
              <w:t>(a)</w:t>
            </w:r>
          </w:p>
        </w:tc>
        <w:tc>
          <w:tcPr>
            <w:tcW w:w="1444" w:type="dxa"/>
            <w:tcBorders>
              <w:bottom w:val="single" w:sz="4" w:space="0" w:color="auto"/>
            </w:tcBorders>
          </w:tcPr>
          <w:p w:rsidR="00BC366B" w:rsidRDefault="00BC366B" w:rsidP="00EB1253">
            <w:pPr>
              <w:jc w:val="center"/>
            </w:pPr>
          </w:p>
          <w:p w:rsidR="00BC366B" w:rsidRDefault="00BC366B" w:rsidP="00EB1253">
            <w:pPr>
              <w:jc w:val="center"/>
            </w:pPr>
          </w:p>
          <w:p w:rsidR="00BC366B" w:rsidRDefault="00BC366B" w:rsidP="00EB1253">
            <w:pPr>
              <w:jc w:val="center"/>
            </w:pPr>
            <w:r>
              <w:t># of New Submissions</w:t>
            </w:r>
          </w:p>
          <w:p w:rsidR="00BC366B" w:rsidRDefault="00BC366B" w:rsidP="00EB1253">
            <w:pPr>
              <w:jc w:val="center"/>
            </w:pPr>
            <w:r>
              <w:t>(b)</w:t>
            </w:r>
          </w:p>
        </w:tc>
        <w:tc>
          <w:tcPr>
            <w:tcW w:w="1657" w:type="dxa"/>
            <w:tcBorders>
              <w:bottom w:val="single" w:sz="4" w:space="0" w:color="auto"/>
            </w:tcBorders>
          </w:tcPr>
          <w:p w:rsidR="00BC366B" w:rsidRDefault="00BC366B" w:rsidP="00EB1253">
            <w:pPr>
              <w:jc w:val="center"/>
            </w:pPr>
          </w:p>
          <w:p w:rsidR="00BC366B" w:rsidRDefault="00BC366B" w:rsidP="00EB1253">
            <w:pPr>
              <w:jc w:val="center"/>
            </w:pPr>
          </w:p>
          <w:p w:rsidR="00BC366B" w:rsidRDefault="00BC366B" w:rsidP="00EB1253">
            <w:pPr>
              <w:jc w:val="center"/>
            </w:pPr>
            <w:r>
              <w:t># of Resubmissions</w:t>
            </w:r>
          </w:p>
          <w:p w:rsidR="00BC366B" w:rsidRDefault="00BC366B" w:rsidP="00EB1253">
            <w:pPr>
              <w:jc w:val="center"/>
            </w:pPr>
            <w:r>
              <w:t>(c)</w:t>
            </w:r>
          </w:p>
        </w:tc>
        <w:tc>
          <w:tcPr>
            <w:tcW w:w="1352" w:type="dxa"/>
            <w:tcBorders>
              <w:bottom w:val="single" w:sz="4" w:space="0" w:color="auto"/>
            </w:tcBorders>
          </w:tcPr>
          <w:p w:rsidR="00BC366B" w:rsidRDefault="00BC366B" w:rsidP="00EB1253">
            <w:pPr>
              <w:jc w:val="center"/>
            </w:pPr>
            <w:r>
              <w:t># Available for Evaluation</w:t>
            </w:r>
          </w:p>
          <w:p w:rsidR="00BC366B" w:rsidRDefault="00BC366B" w:rsidP="00EB1253">
            <w:pPr>
              <w:jc w:val="center"/>
            </w:pPr>
            <w:r>
              <w:t>(a)+(b)+(c)</w:t>
            </w:r>
          </w:p>
          <w:p w:rsidR="00BC366B" w:rsidRDefault="00BC366B" w:rsidP="00EB1253">
            <w:pPr>
              <w:jc w:val="center"/>
            </w:pPr>
            <w:r>
              <w:t>= (d)</w:t>
            </w:r>
          </w:p>
        </w:tc>
        <w:tc>
          <w:tcPr>
            <w:tcW w:w="1176" w:type="dxa"/>
            <w:tcBorders>
              <w:bottom w:val="single" w:sz="4" w:space="0" w:color="auto"/>
            </w:tcBorders>
          </w:tcPr>
          <w:p w:rsidR="00BC366B" w:rsidRDefault="00BC366B" w:rsidP="00EB1253">
            <w:pPr>
              <w:jc w:val="center"/>
            </w:pPr>
          </w:p>
          <w:p w:rsidR="00BC366B" w:rsidRDefault="00BC366B" w:rsidP="00EB1253">
            <w:pPr>
              <w:jc w:val="center"/>
            </w:pPr>
          </w:p>
          <w:p w:rsidR="00BC366B" w:rsidRDefault="00BC366B" w:rsidP="00EB1253">
            <w:pPr>
              <w:jc w:val="center"/>
            </w:pPr>
            <w:r>
              <w:t># Evaluated</w:t>
            </w:r>
          </w:p>
          <w:p w:rsidR="00BC366B" w:rsidRDefault="00BC366B" w:rsidP="00EB1253">
            <w:pPr>
              <w:jc w:val="center"/>
            </w:pPr>
            <w:r>
              <w:t>(e)</w:t>
            </w:r>
          </w:p>
        </w:tc>
        <w:tc>
          <w:tcPr>
            <w:tcW w:w="1010" w:type="dxa"/>
            <w:tcBorders>
              <w:bottom w:val="single" w:sz="4" w:space="0" w:color="auto"/>
            </w:tcBorders>
          </w:tcPr>
          <w:p w:rsidR="00BC366B" w:rsidRDefault="00BC366B" w:rsidP="00EB1253">
            <w:pPr>
              <w:jc w:val="center"/>
            </w:pPr>
            <w:r>
              <w:t xml:space="preserve"># In-Process, End of Year </w:t>
            </w:r>
          </w:p>
          <w:p w:rsidR="00BC366B" w:rsidRDefault="00BC366B" w:rsidP="00EB1253">
            <w:pPr>
              <w:jc w:val="center"/>
            </w:pPr>
            <w:r>
              <w:t>(d)-(e)</w:t>
            </w:r>
          </w:p>
        </w:tc>
      </w:tr>
      <w:tr w:rsidR="00BC366B" w:rsidTr="00EB1253">
        <w:trPr>
          <w:cantSplit/>
        </w:trPr>
        <w:tc>
          <w:tcPr>
            <w:tcW w:w="922" w:type="dxa"/>
            <w:tcBorders>
              <w:top w:val="single" w:sz="4" w:space="0" w:color="auto"/>
            </w:tcBorders>
          </w:tcPr>
          <w:p w:rsidR="00BC366B" w:rsidRDefault="00BC366B" w:rsidP="00EB1253"/>
        </w:tc>
        <w:tc>
          <w:tcPr>
            <w:tcW w:w="1295" w:type="dxa"/>
            <w:tcBorders>
              <w:top w:val="single" w:sz="4" w:space="0" w:color="auto"/>
            </w:tcBorders>
          </w:tcPr>
          <w:p w:rsidR="00BC366B" w:rsidRDefault="00BC366B" w:rsidP="00EB1253"/>
        </w:tc>
        <w:tc>
          <w:tcPr>
            <w:tcW w:w="1444" w:type="dxa"/>
            <w:tcBorders>
              <w:top w:val="single" w:sz="4" w:space="0" w:color="auto"/>
            </w:tcBorders>
          </w:tcPr>
          <w:p w:rsidR="00BC366B" w:rsidRDefault="00BC366B" w:rsidP="00EB1253"/>
        </w:tc>
        <w:tc>
          <w:tcPr>
            <w:tcW w:w="1657" w:type="dxa"/>
            <w:tcBorders>
              <w:top w:val="single" w:sz="4" w:space="0" w:color="auto"/>
            </w:tcBorders>
          </w:tcPr>
          <w:p w:rsidR="00BC366B" w:rsidRDefault="00BC366B" w:rsidP="00EB1253"/>
        </w:tc>
        <w:tc>
          <w:tcPr>
            <w:tcW w:w="1352" w:type="dxa"/>
            <w:tcBorders>
              <w:top w:val="single" w:sz="4" w:space="0" w:color="auto"/>
            </w:tcBorders>
          </w:tcPr>
          <w:p w:rsidR="00BC366B" w:rsidRDefault="00BC366B" w:rsidP="00EB1253"/>
        </w:tc>
        <w:tc>
          <w:tcPr>
            <w:tcW w:w="1176" w:type="dxa"/>
            <w:tcBorders>
              <w:top w:val="single" w:sz="4" w:space="0" w:color="auto"/>
            </w:tcBorders>
          </w:tcPr>
          <w:p w:rsidR="00BC366B" w:rsidRDefault="00BC366B" w:rsidP="00EB1253"/>
        </w:tc>
        <w:tc>
          <w:tcPr>
            <w:tcW w:w="1010" w:type="dxa"/>
            <w:tcBorders>
              <w:top w:val="single" w:sz="4" w:space="0" w:color="auto"/>
            </w:tcBorders>
          </w:tcPr>
          <w:p w:rsidR="00BC366B" w:rsidRDefault="00BC366B" w:rsidP="00EB1253"/>
        </w:tc>
      </w:tr>
      <w:tr w:rsidR="00BC366B" w:rsidTr="00EB1253">
        <w:trPr>
          <w:cantSplit/>
        </w:trPr>
        <w:tc>
          <w:tcPr>
            <w:tcW w:w="922" w:type="dxa"/>
          </w:tcPr>
          <w:p w:rsidR="00BC366B" w:rsidRDefault="00BC366B" w:rsidP="00EB1253">
            <w:r>
              <w:t>2008-9</w:t>
            </w:r>
          </w:p>
        </w:tc>
        <w:tc>
          <w:tcPr>
            <w:tcW w:w="1295" w:type="dxa"/>
          </w:tcPr>
          <w:p w:rsidR="00BC366B" w:rsidRDefault="00BC366B" w:rsidP="00EB1253">
            <w:r>
              <w:t xml:space="preserve">        0</w:t>
            </w:r>
          </w:p>
        </w:tc>
        <w:tc>
          <w:tcPr>
            <w:tcW w:w="1444" w:type="dxa"/>
          </w:tcPr>
          <w:p w:rsidR="00BC366B" w:rsidRDefault="00BC366B" w:rsidP="00EB1253">
            <w:r>
              <w:t xml:space="preserve">       18</w:t>
            </w:r>
          </w:p>
        </w:tc>
        <w:tc>
          <w:tcPr>
            <w:tcW w:w="1657" w:type="dxa"/>
          </w:tcPr>
          <w:p w:rsidR="00BC366B" w:rsidRDefault="00BC366B" w:rsidP="00EB1253">
            <w:r>
              <w:t xml:space="preserve">          3</w:t>
            </w:r>
          </w:p>
        </w:tc>
        <w:tc>
          <w:tcPr>
            <w:tcW w:w="1352" w:type="dxa"/>
          </w:tcPr>
          <w:p w:rsidR="00BC366B" w:rsidRDefault="00BC366B" w:rsidP="00EB1253">
            <w:r>
              <w:t xml:space="preserve">      21</w:t>
            </w:r>
          </w:p>
        </w:tc>
        <w:tc>
          <w:tcPr>
            <w:tcW w:w="1176" w:type="dxa"/>
          </w:tcPr>
          <w:p w:rsidR="00BC366B" w:rsidRDefault="00BC366B" w:rsidP="00EB1253">
            <w:r>
              <w:t xml:space="preserve">      21</w:t>
            </w:r>
          </w:p>
        </w:tc>
        <w:tc>
          <w:tcPr>
            <w:tcW w:w="1010" w:type="dxa"/>
          </w:tcPr>
          <w:p w:rsidR="00BC366B" w:rsidRDefault="00BC366B" w:rsidP="00EB1253">
            <w:r>
              <w:t xml:space="preserve">     0</w:t>
            </w:r>
          </w:p>
        </w:tc>
      </w:tr>
      <w:tr w:rsidR="00BC366B" w:rsidTr="00EB1253">
        <w:trPr>
          <w:cantSplit/>
        </w:trPr>
        <w:tc>
          <w:tcPr>
            <w:tcW w:w="922" w:type="dxa"/>
          </w:tcPr>
          <w:p w:rsidR="00BC366B" w:rsidRDefault="00BC366B" w:rsidP="00EB1253"/>
        </w:tc>
        <w:tc>
          <w:tcPr>
            <w:tcW w:w="1295" w:type="dxa"/>
          </w:tcPr>
          <w:p w:rsidR="00BC366B" w:rsidRDefault="00BC366B" w:rsidP="00EB1253"/>
        </w:tc>
        <w:tc>
          <w:tcPr>
            <w:tcW w:w="1444" w:type="dxa"/>
          </w:tcPr>
          <w:p w:rsidR="00BC366B" w:rsidRDefault="00BC366B" w:rsidP="00EB1253"/>
        </w:tc>
        <w:tc>
          <w:tcPr>
            <w:tcW w:w="1657" w:type="dxa"/>
          </w:tcPr>
          <w:p w:rsidR="00BC366B" w:rsidRDefault="00BC366B" w:rsidP="00EB1253"/>
        </w:tc>
        <w:tc>
          <w:tcPr>
            <w:tcW w:w="1352" w:type="dxa"/>
          </w:tcPr>
          <w:p w:rsidR="00BC366B" w:rsidRDefault="00BC366B" w:rsidP="00EB1253"/>
        </w:tc>
        <w:tc>
          <w:tcPr>
            <w:tcW w:w="1176" w:type="dxa"/>
          </w:tcPr>
          <w:p w:rsidR="00BC366B" w:rsidRDefault="00BC366B" w:rsidP="00EB1253"/>
        </w:tc>
        <w:tc>
          <w:tcPr>
            <w:tcW w:w="1010" w:type="dxa"/>
          </w:tcPr>
          <w:p w:rsidR="00BC366B" w:rsidRDefault="00BC366B" w:rsidP="00EB1253"/>
        </w:tc>
      </w:tr>
      <w:tr w:rsidR="00BC366B" w:rsidTr="00EB1253">
        <w:trPr>
          <w:cantSplit/>
        </w:trPr>
        <w:tc>
          <w:tcPr>
            <w:tcW w:w="922" w:type="dxa"/>
            <w:tcBorders>
              <w:bottom w:val="single" w:sz="12" w:space="0" w:color="auto"/>
            </w:tcBorders>
          </w:tcPr>
          <w:p w:rsidR="00BC366B" w:rsidRDefault="00BC366B" w:rsidP="00EB1253"/>
        </w:tc>
        <w:tc>
          <w:tcPr>
            <w:tcW w:w="1295" w:type="dxa"/>
            <w:tcBorders>
              <w:bottom w:val="single" w:sz="12" w:space="0" w:color="auto"/>
            </w:tcBorders>
          </w:tcPr>
          <w:p w:rsidR="00BC366B" w:rsidRDefault="00BC366B" w:rsidP="00EB1253"/>
        </w:tc>
        <w:tc>
          <w:tcPr>
            <w:tcW w:w="1444" w:type="dxa"/>
            <w:tcBorders>
              <w:bottom w:val="single" w:sz="12" w:space="0" w:color="auto"/>
            </w:tcBorders>
          </w:tcPr>
          <w:p w:rsidR="00BC366B" w:rsidRDefault="00BC366B" w:rsidP="00EB1253"/>
        </w:tc>
        <w:tc>
          <w:tcPr>
            <w:tcW w:w="1657" w:type="dxa"/>
            <w:tcBorders>
              <w:bottom w:val="single" w:sz="12" w:space="0" w:color="auto"/>
            </w:tcBorders>
          </w:tcPr>
          <w:p w:rsidR="00BC366B" w:rsidRDefault="00BC366B" w:rsidP="00EB1253"/>
        </w:tc>
        <w:tc>
          <w:tcPr>
            <w:tcW w:w="1352" w:type="dxa"/>
            <w:tcBorders>
              <w:bottom w:val="single" w:sz="12" w:space="0" w:color="auto"/>
            </w:tcBorders>
          </w:tcPr>
          <w:p w:rsidR="00BC366B" w:rsidRDefault="00BC366B" w:rsidP="00EB1253"/>
        </w:tc>
        <w:tc>
          <w:tcPr>
            <w:tcW w:w="1176" w:type="dxa"/>
            <w:tcBorders>
              <w:bottom w:val="single" w:sz="12" w:space="0" w:color="auto"/>
            </w:tcBorders>
          </w:tcPr>
          <w:p w:rsidR="00BC366B" w:rsidRDefault="00BC366B" w:rsidP="00EB1253"/>
        </w:tc>
        <w:tc>
          <w:tcPr>
            <w:tcW w:w="1010" w:type="dxa"/>
            <w:tcBorders>
              <w:bottom w:val="single" w:sz="12" w:space="0" w:color="auto"/>
            </w:tcBorders>
          </w:tcPr>
          <w:p w:rsidR="00BC366B" w:rsidRDefault="00BC366B" w:rsidP="00EB1253"/>
        </w:tc>
      </w:tr>
    </w:tbl>
    <w:p w:rsidR="00BC366B" w:rsidRDefault="00BC366B" w:rsidP="00BC366B">
      <w:pPr>
        <w:numPr>
          <w:ilvl w:val="0"/>
          <w:numId w:val="5"/>
        </w:numPr>
        <w:spacing w:after="0" w:line="240" w:lineRule="auto"/>
      </w:pPr>
      <w:r>
        <w:t>Include submissions in the editor’s hands, but exclude revise and resubmit editorial decisions in authors’ hands.</w:t>
      </w:r>
    </w:p>
    <w:p w:rsidR="00BC366B" w:rsidRDefault="00BC366B" w:rsidP="00BC366B">
      <w:pPr>
        <w:numPr>
          <w:ilvl w:val="0"/>
          <w:numId w:val="5"/>
        </w:numPr>
        <w:spacing w:after="0" w:line="240" w:lineRule="auto"/>
      </w:pPr>
      <w:r>
        <w:t>New manuscripts, excluding resubmissions.</w:t>
      </w:r>
    </w:p>
    <w:p w:rsidR="00BC366B" w:rsidRDefault="00BC366B" w:rsidP="00BC366B">
      <w:pPr>
        <w:numPr>
          <w:ilvl w:val="0"/>
          <w:numId w:val="5"/>
        </w:numPr>
        <w:spacing w:after="0" w:line="240" w:lineRule="auto"/>
      </w:pPr>
      <w:r>
        <w:t>Resubmissions of previous revise and resubmit editor decisions.</w:t>
      </w:r>
    </w:p>
    <w:p w:rsidR="00BC366B" w:rsidRDefault="00BC366B" w:rsidP="00BC366B">
      <w:pPr>
        <w:numPr>
          <w:ilvl w:val="0"/>
          <w:numId w:val="5"/>
        </w:numPr>
        <w:spacing w:after="0" w:line="240" w:lineRule="auto"/>
      </w:pPr>
      <w:r>
        <w:t xml:space="preserve">Evaluation means all actions by referees, associate editor, and/or editor are complete and the manuscript has been returned to the authors. </w:t>
      </w:r>
    </w:p>
    <w:p w:rsidR="00BC366B" w:rsidRDefault="00BC366B" w:rsidP="00BC366B">
      <w:pPr>
        <w:numPr>
          <w:ilvl w:val="0"/>
          <w:numId w:val="5"/>
        </w:numPr>
        <w:spacing w:after="0" w:line="240" w:lineRule="auto"/>
      </w:pPr>
      <w:r>
        <w:t>Manuscripts processed with a decision returned to the author, including manuscripts returned by the editor without involving referees.</w:t>
      </w:r>
    </w:p>
    <w:p w:rsidR="00BC366B" w:rsidRDefault="00BC366B" w:rsidP="00BC366B">
      <w:pPr>
        <w:numPr>
          <w:ilvl w:val="0"/>
          <w:numId w:val="5"/>
        </w:numPr>
        <w:pBdr>
          <w:bottom w:val="single" w:sz="6" w:space="1" w:color="auto"/>
        </w:pBdr>
        <w:spacing w:after="0" w:line="240" w:lineRule="auto"/>
      </w:pPr>
      <w:r>
        <w:t>Submissions where a decision has not yet been sent to the author (note that in-process excludes revise and resubmit editorial decisions that are now in the authors’ hands).</w:t>
      </w:r>
    </w:p>
    <w:p w:rsidR="00BC366B" w:rsidRPr="00F622E9" w:rsidRDefault="00BC366B" w:rsidP="00BC366B">
      <w:pPr>
        <w:rPr>
          <w:sz w:val="20"/>
          <w:szCs w:val="20"/>
        </w:rPr>
      </w:pPr>
    </w:p>
    <w:p w:rsidR="00BC366B" w:rsidRPr="00F622E9" w:rsidRDefault="00BC366B" w:rsidP="00BC366B">
      <w:pPr>
        <w:rPr>
          <w:sz w:val="20"/>
          <w:szCs w:val="20"/>
        </w:rPr>
      </w:pPr>
      <w:r>
        <w:rPr>
          <w:sz w:val="20"/>
          <w:szCs w:val="20"/>
        </w:rPr>
        <w:br w:type="page"/>
      </w:r>
    </w:p>
    <w:p w:rsidR="00BC366B" w:rsidRPr="00F622E9" w:rsidRDefault="00BC366B" w:rsidP="00BC366B">
      <w:pPr>
        <w:rPr>
          <w:sz w:val="20"/>
          <w:szCs w:val="20"/>
        </w:rPr>
      </w:pPr>
    </w:p>
    <w:tbl>
      <w:tblPr>
        <w:tblW w:w="0" w:type="auto"/>
        <w:tblLook w:val="0000"/>
      </w:tblPr>
      <w:tblGrid>
        <w:gridCol w:w="827"/>
        <w:gridCol w:w="1441"/>
        <w:gridCol w:w="1260"/>
        <w:gridCol w:w="1260"/>
        <w:gridCol w:w="1396"/>
        <w:gridCol w:w="1336"/>
        <w:gridCol w:w="1336"/>
      </w:tblGrid>
      <w:tr w:rsidR="00BC366B" w:rsidTr="00EB1253">
        <w:trPr>
          <w:cantSplit/>
        </w:trPr>
        <w:tc>
          <w:tcPr>
            <w:tcW w:w="8856" w:type="dxa"/>
            <w:gridSpan w:val="7"/>
            <w:tcBorders>
              <w:top w:val="single" w:sz="12" w:space="0" w:color="auto"/>
            </w:tcBorders>
          </w:tcPr>
          <w:p w:rsidR="00BC366B" w:rsidRDefault="00BC366B" w:rsidP="00EB1253">
            <w:pPr>
              <w:jc w:val="center"/>
            </w:pPr>
            <w:r>
              <w:t>TABLE 2</w:t>
            </w:r>
          </w:p>
          <w:p w:rsidR="00BC366B" w:rsidRDefault="00BC366B" w:rsidP="00EB1253">
            <w:pPr>
              <w:jc w:val="center"/>
            </w:pPr>
            <w:r>
              <w:t>Annual Outcome Summary</w:t>
            </w:r>
          </w:p>
          <w:p w:rsidR="00BC366B" w:rsidRDefault="00BC366B" w:rsidP="00EB1253">
            <w:pPr>
              <w:jc w:val="center"/>
            </w:pPr>
            <w:r>
              <w:t>(Provide data for at least the last 3 years.)</w:t>
            </w:r>
          </w:p>
        </w:tc>
      </w:tr>
      <w:tr w:rsidR="00BC366B" w:rsidTr="00EB1253">
        <w:trPr>
          <w:cantSplit/>
        </w:trPr>
        <w:tc>
          <w:tcPr>
            <w:tcW w:w="827" w:type="dxa"/>
            <w:tcBorders>
              <w:bottom w:val="single" w:sz="4" w:space="0" w:color="auto"/>
            </w:tcBorders>
          </w:tcPr>
          <w:p w:rsidR="00BC366B" w:rsidRDefault="00BC366B" w:rsidP="00EB1253">
            <w:pPr>
              <w:jc w:val="center"/>
            </w:pPr>
          </w:p>
          <w:p w:rsidR="00BC366B" w:rsidRDefault="00BC366B" w:rsidP="00EB1253">
            <w:pPr>
              <w:jc w:val="center"/>
            </w:pPr>
          </w:p>
          <w:p w:rsidR="00BC366B" w:rsidRDefault="00BC366B" w:rsidP="00EB1253">
            <w:pPr>
              <w:jc w:val="center"/>
            </w:pPr>
            <w:r>
              <w:t>Year</w:t>
            </w:r>
          </w:p>
        </w:tc>
        <w:tc>
          <w:tcPr>
            <w:tcW w:w="1441" w:type="dxa"/>
            <w:tcBorders>
              <w:bottom w:val="single" w:sz="4" w:space="0" w:color="auto"/>
            </w:tcBorders>
          </w:tcPr>
          <w:p w:rsidR="00BC366B" w:rsidRDefault="00BC366B" w:rsidP="00EB1253">
            <w:pPr>
              <w:jc w:val="center"/>
            </w:pPr>
            <w:r>
              <w:t># Evaluated</w:t>
            </w:r>
          </w:p>
          <w:p w:rsidR="00BC366B" w:rsidRDefault="00BC366B" w:rsidP="00EB1253">
            <w:pPr>
              <w:jc w:val="center"/>
            </w:pPr>
            <w:r>
              <w:t>(a)+(b)+(c)</w:t>
            </w:r>
          </w:p>
          <w:p w:rsidR="00BC366B" w:rsidRDefault="00BC366B" w:rsidP="00EB1253">
            <w:pPr>
              <w:jc w:val="center"/>
            </w:pPr>
            <w:r>
              <w:t>= (d)</w:t>
            </w:r>
          </w:p>
        </w:tc>
        <w:tc>
          <w:tcPr>
            <w:tcW w:w="1260" w:type="dxa"/>
            <w:tcBorders>
              <w:bottom w:val="single" w:sz="4" w:space="0" w:color="auto"/>
            </w:tcBorders>
          </w:tcPr>
          <w:p w:rsidR="00BC366B" w:rsidRDefault="00BC366B" w:rsidP="00EB1253">
            <w:pPr>
              <w:jc w:val="center"/>
            </w:pPr>
          </w:p>
          <w:p w:rsidR="00BC366B" w:rsidRDefault="00BC366B" w:rsidP="00EB1253">
            <w:pPr>
              <w:jc w:val="center"/>
            </w:pPr>
            <w:r>
              <w:t># Rejected</w:t>
            </w:r>
          </w:p>
          <w:p w:rsidR="00BC366B" w:rsidRDefault="00BC366B" w:rsidP="00EB1253">
            <w:pPr>
              <w:jc w:val="center"/>
            </w:pPr>
            <w:r>
              <w:t>(a)</w:t>
            </w:r>
          </w:p>
        </w:tc>
        <w:tc>
          <w:tcPr>
            <w:tcW w:w="1260" w:type="dxa"/>
            <w:tcBorders>
              <w:bottom w:val="single" w:sz="4" w:space="0" w:color="auto"/>
            </w:tcBorders>
          </w:tcPr>
          <w:p w:rsidR="00BC366B" w:rsidRDefault="00BC366B" w:rsidP="00EB1253">
            <w:pPr>
              <w:jc w:val="center"/>
            </w:pPr>
            <w:r>
              <w:t># Invited to Revise</w:t>
            </w:r>
          </w:p>
          <w:p w:rsidR="00BC366B" w:rsidRDefault="00BC366B" w:rsidP="00EB1253">
            <w:pPr>
              <w:jc w:val="center"/>
            </w:pPr>
            <w:r>
              <w:t>(b)</w:t>
            </w:r>
          </w:p>
        </w:tc>
        <w:tc>
          <w:tcPr>
            <w:tcW w:w="1396" w:type="dxa"/>
            <w:tcBorders>
              <w:bottom w:val="single" w:sz="4" w:space="0" w:color="auto"/>
            </w:tcBorders>
          </w:tcPr>
          <w:p w:rsidR="00BC366B" w:rsidRDefault="00BC366B" w:rsidP="00EB1253">
            <w:pPr>
              <w:jc w:val="center"/>
            </w:pPr>
          </w:p>
          <w:p w:rsidR="00BC366B" w:rsidRDefault="00BC366B" w:rsidP="00EB1253">
            <w:pPr>
              <w:jc w:val="center"/>
            </w:pPr>
            <w:r>
              <w:t># Accepted</w:t>
            </w:r>
          </w:p>
          <w:p w:rsidR="00BC366B" w:rsidRDefault="00BC366B" w:rsidP="00EB1253">
            <w:pPr>
              <w:jc w:val="center"/>
            </w:pPr>
            <w:r>
              <w:t>(c)</w:t>
            </w:r>
          </w:p>
        </w:tc>
        <w:tc>
          <w:tcPr>
            <w:tcW w:w="1336" w:type="dxa"/>
            <w:tcBorders>
              <w:bottom w:val="single" w:sz="4" w:space="0" w:color="auto"/>
            </w:tcBorders>
            <w:shd w:val="clear" w:color="auto" w:fill="auto"/>
          </w:tcPr>
          <w:p w:rsidR="00BC366B" w:rsidRDefault="00BC366B" w:rsidP="00EB1253">
            <w:pPr>
              <w:jc w:val="center"/>
            </w:pPr>
            <w:r>
              <w:t>Acceptance</w:t>
            </w:r>
          </w:p>
          <w:p w:rsidR="00BC366B" w:rsidRDefault="00BC366B" w:rsidP="00EB1253">
            <w:pPr>
              <w:jc w:val="center"/>
            </w:pPr>
            <w:r>
              <w:t>Rate (1):</w:t>
            </w:r>
          </w:p>
          <w:p w:rsidR="00BC366B" w:rsidRDefault="00BC366B" w:rsidP="00EB1253">
            <w:pPr>
              <w:jc w:val="center"/>
            </w:pPr>
            <w:r>
              <w:t>(c)/(</w:t>
            </w:r>
            <w:proofErr w:type="spellStart"/>
            <w:r>
              <w:t>a+c</w:t>
            </w:r>
            <w:proofErr w:type="spellEnd"/>
            <w:r>
              <w:t>)</w:t>
            </w:r>
          </w:p>
        </w:tc>
        <w:tc>
          <w:tcPr>
            <w:tcW w:w="1336" w:type="dxa"/>
            <w:tcBorders>
              <w:bottom w:val="single" w:sz="4" w:space="0" w:color="auto"/>
            </w:tcBorders>
            <w:shd w:val="clear" w:color="auto" w:fill="auto"/>
          </w:tcPr>
          <w:p w:rsidR="00BC366B" w:rsidRDefault="00BC366B" w:rsidP="00EB1253">
            <w:pPr>
              <w:jc w:val="center"/>
            </w:pPr>
            <w:r>
              <w:t>Acceptance Rate (2): (c)/(d)</w:t>
            </w:r>
          </w:p>
        </w:tc>
      </w:tr>
      <w:tr w:rsidR="00BC366B" w:rsidTr="00EB1253">
        <w:trPr>
          <w:cantSplit/>
        </w:trPr>
        <w:tc>
          <w:tcPr>
            <w:tcW w:w="827" w:type="dxa"/>
            <w:tcBorders>
              <w:top w:val="single" w:sz="4" w:space="0" w:color="auto"/>
            </w:tcBorders>
          </w:tcPr>
          <w:p w:rsidR="00BC366B" w:rsidRDefault="00BC366B" w:rsidP="00EB1253"/>
        </w:tc>
        <w:tc>
          <w:tcPr>
            <w:tcW w:w="1441" w:type="dxa"/>
            <w:tcBorders>
              <w:top w:val="single" w:sz="4" w:space="0" w:color="auto"/>
            </w:tcBorders>
          </w:tcPr>
          <w:p w:rsidR="00BC366B" w:rsidRDefault="00BC366B" w:rsidP="00EB1253"/>
        </w:tc>
        <w:tc>
          <w:tcPr>
            <w:tcW w:w="1260" w:type="dxa"/>
            <w:tcBorders>
              <w:top w:val="single" w:sz="4" w:space="0" w:color="auto"/>
            </w:tcBorders>
          </w:tcPr>
          <w:p w:rsidR="00BC366B" w:rsidRDefault="00BC366B" w:rsidP="00EB1253"/>
        </w:tc>
        <w:tc>
          <w:tcPr>
            <w:tcW w:w="1260" w:type="dxa"/>
            <w:tcBorders>
              <w:top w:val="single" w:sz="4" w:space="0" w:color="auto"/>
            </w:tcBorders>
          </w:tcPr>
          <w:p w:rsidR="00BC366B" w:rsidRDefault="00BC366B" w:rsidP="00EB1253"/>
        </w:tc>
        <w:tc>
          <w:tcPr>
            <w:tcW w:w="1396" w:type="dxa"/>
            <w:tcBorders>
              <w:top w:val="single" w:sz="4" w:space="0" w:color="auto"/>
            </w:tcBorders>
          </w:tcPr>
          <w:p w:rsidR="00BC366B" w:rsidRDefault="00BC366B" w:rsidP="00EB1253"/>
        </w:tc>
        <w:tc>
          <w:tcPr>
            <w:tcW w:w="1336" w:type="dxa"/>
            <w:tcBorders>
              <w:top w:val="single" w:sz="4" w:space="0" w:color="auto"/>
            </w:tcBorders>
            <w:shd w:val="clear" w:color="auto" w:fill="auto"/>
          </w:tcPr>
          <w:p w:rsidR="00BC366B" w:rsidRDefault="00BC366B" w:rsidP="00EB1253"/>
        </w:tc>
        <w:tc>
          <w:tcPr>
            <w:tcW w:w="1336" w:type="dxa"/>
            <w:tcBorders>
              <w:top w:val="single" w:sz="4" w:space="0" w:color="auto"/>
            </w:tcBorders>
            <w:shd w:val="clear" w:color="auto" w:fill="auto"/>
          </w:tcPr>
          <w:p w:rsidR="00BC366B" w:rsidRDefault="00BC366B" w:rsidP="00EB1253"/>
        </w:tc>
      </w:tr>
      <w:tr w:rsidR="00BC366B" w:rsidTr="00EB1253">
        <w:trPr>
          <w:cantSplit/>
        </w:trPr>
        <w:tc>
          <w:tcPr>
            <w:tcW w:w="827" w:type="dxa"/>
          </w:tcPr>
          <w:p w:rsidR="00BC366B" w:rsidRDefault="00BC366B" w:rsidP="00EB1253">
            <w:r>
              <w:t>2008-9</w:t>
            </w:r>
          </w:p>
        </w:tc>
        <w:tc>
          <w:tcPr>
            <w:tcW w:w="1441" w:type="dxa"/>
          </w:tcPr>
          <w:p w:rsidR="00BC366B" w:rsidRDefault="00BC366B" w:rsidP="00EB1253">
            <w:r>
              <w:t xml:space="preserve">       21</w:t>
            </w:r>
          </w:p>
        </w:tc>
        <w:tc>
          <w:tcPr>
            <w:tcW w:w="1260" w:type="dxa"/>
          </w:tcPr>
          <w:p w:rsidR="00BC366B" w:rsidRDefault="00BC366B" w:rsidP="00EB1253">
            <w:r>
              <w:t xml:space="preserve">       15</w:t>
            </w:r>
          </w:p>
        </w:tc>
        <w:tc>
          <w:tcPr>
            <w:tcW w:w="1260" w:type="dxa"/>
          </w:tcPr>
          <w:p w:rsidR="00BC366B" w:rsidRDefault="00BC366B" w:rsidP="00EB1253">
            <w:r>
              <w:t xml:space="preserve">       3</w:t>
            </w:r>
          </w:p>
        </w:tc>
        <w:tc>
          <w:tcPr>
            <w:tcW w:w="1396" w:type="dxa"/>
          </w:tcPr>
          <w:p w:rsidR="00BC366B" w:rsidRDefault="00BC366B" w:rsidP="00EB1253">
            <w:r>
              <w:t xml:space="preserve">       3</w:t>
            </w:r>
          </w:p>
        </w:tc>
        <w:tc>
          <w:tcPr>
            <w:tcW w:w="1336" w:type="dxa"/>
            <w:shd w:val="clear" w:color="auto" w:fill="auto"/>
          </w:tcPr>
          <w:p w:rsidR="00BC366B" w:rsidRDefault="00BC366B" w:rsidP="00EB1253">
            <w:r>
              <w:t xml:space="preserve">     16.67</w:t>
            </w:r>
          </w:p>
        </w:tc>
        <w:tc>
          <w:tcPr>
            <w:tcW w:w="1336" w:type="dxa"/>
            <w:shd w:val="clear" w:color="auto" w:fill="auto"/>
          </w:tcPr>
          <w:p w:rsidR="00BC366B" w:rsidRDefault="00BC366B" w:rsidP="00EB1253">
            <w:r>
              <w:t xml:space="preserve">    14.28</w:t>
            </w:r>
          </w:p>
        </w:tc>
      </w:tr>
      <w:tr w:rsidR="00BC366B" w:rsidTr="00EB1253">
        <w:trPr>
          <w:cantSplit/>
        </w:trPr>
        <w:tc>
          <w:tcPr>
            <w:tcW w:w="827" w:type="dxa"/>
          </w:tcPr>
          <w:p w:rsidR="00BC366B" w:rsidRDefault="00BC366B" w:rsidP="00EB1253"/>
        </w:tc>
        <w:tc>
          <w:tcPr>
            <w:tcW w:w="1441" w:type="dxa"/>
          </w:tcPr>
          <w:p w:rsidR="00BC366B" w:rsidRDefault="00BC366B" w:rsidP="00EB1253"/>
        </w:tc>
        <w:tc>
          <w:tcPr>
            <w:tcW w:w="1260" w:type="dxa"/>
          </w:tcPr>
          <w:p w:rsidR="00BC366B" w:rsidRDefault="00BC366B" w:rsidP="00EB1253"/>
        </w:tc>
        <w:tc>
          <w:tcPr>
            <w:tcW w:w="1260" w:type="dxa"/>
          </w:tcPr>
          <w:p w:rsidR="00BC366B" w:rsidRDefault="00BC366B" w:rsidP="00EB1253"/>
        </w:tc>
        <w:tc>
          <w:tcPr>
            <w:tcW w:w="1396" w:type="dxa"/>
          </w:tcPr>
          <w:p w:rsidR="00BC366B" w:rsidRDefault="00BC366B" w:rsidP="00EB1253"/>
        </w:tc>
        <w:tc>
          <w:tcPr>
            <w:tcW w:w="1336" w:type="dxa"/>
            <w:shd w:val="clear" w:color="auto" w:fill="auto"/>
          </w:tcPr>
          <w:p w:rsidR="00BC366B" w:rsidRDefault="00BC366B" w:rsidP="00EB1253"/>
        </w:tc>
        <w:tc>
          <w:tcPr>
            <w:tcW w:w="1336" w:type="dxa"/>
            <w:shd w:val="clear" w:color="auto" w:fill="auto"/>
          </w:tcPr>
          <w:p w:rsidR="00BC366B" w:rsidRDefault="00BC366B" w:rsidP="00EB1253"/>
        </w:tc>
      </w:tr>
      <w:tr w:rsidR="00BC366B" w:rsidTr="00EB1253">
        <w:trPr>
          <w:cantSplit/>
        </w:trPr>
        <w:tc>
          <w:tcPr>
            <w:tcW w:w="827" w:type="dxa"/>
            <w:tcBorders>
              <w:bottom w:val="single" w:sz="12" w:space="0" w:color="auto"/>
            </w:tcBorders>
          </w:tcPr>
          <w:p w:rsidR="00BC366B" w:rsidRDefault="00BC366B" w:rsidP="00EB1253"/>
        </w:tc>
        <w:tc>
          <w:tcPr>
            <w:tcW w:w="1441" w:type="dxa"/>
            <w:tcBorders>
              <w:bottom w:val="single" w:sz="12" w:space="0" w:color="auto"/>
            </w:tcBorders>
          </w:tcPr>
          <w:p w:rsidR="00BC366B" w:rsidRDefault="00BC366B" w:rsidP="00EB1253"/>
        </w:tc>
        <w:tc>
          <w:tcPr>
            <w:tcW w:w="1260" w:type="dxa"/>
            <w:tcBorders>
              <w:bottom w:val="single" w:sz="12" w:space="0" w:color="auto"/>
            </w:tcBorders>
          </w:tcPr>
          <w:p w:rsidR="00BC366B" w:rsidRDefault="00BC366B" w:rsidP="00EB1253"/>
        </w:tc>
        <w:tc>
          <w:tcPr>
            <w:tcW w:w="1260" w:type="dxa"/>
            <w:tcBorders>
              <w:bottom w:val="single" w:sz="12" w:space="0" w:color="auto"/>
            </w:tcBorders>
          </w:tcPr>
          <w:p w:rsidR="00BC366B" w:rsidRDefault="00BC366B" w:rsidP="00EB1253"/>
        </w:tc>
        <w:tc>
          <w:tcPr>
            <w:tcW w:w="1396" w:type="dxa"/>
            <w:tcBorders>
              <w:bottom w:val="single" w:sz="12" w:space="0" w:color="auto"/>
            </w:tcBorders>
          </w:tcPr>
          <w:p w:rsidR="00BC366B" w:rsidRDefault="00BC366B" w:rsidP="00EB1253"/>
        </w:tc>
        <w:tc>
          <w:tcPr>
            <w:tcW w:w="1336" w:type="dxa"/>
            <w:tcBorders>
              <w:bottom w:val="single" w:sz="12" w:space="0" w:color="auto"/>
            </w:tcBorders>
            <w:shd w:val="clear" w:color="auto" w:fill="auto"/>
          </w:tcPr>
          <w:p w:rsidR="00BC366B" w:rsidRDefault="00BC366B" w:rsidP="00EB1253"/>
        </w:tc>
        <w:tc>
          <w:tcPr>
            <w:tcW w:w="1336" w:type="dxa"/>
            <w:tcBorders>
              <w:bottom w:val="single" w:sz="12" w:space="0" w:color="auto"/>
            </w:tcBorders>
            <w:shd w:val="clear" w:color="auto" w:fill="auto"/>
          </w:tcPr>
          <w:p w:rsidR="00BC366B" w:rsidRDefault="00BC366B" w:rsidP="00EB1253"/>
        </w:tc>
      </w:tr>
    </w:tbl>
    <w:p w:rsidR="00BC366B" w:rsidRDefault="00BC366B" w:rsidP="00BC366B">
      <w:r>
        <w:t>The “# Evaluated” should equal (e) in Table 1.</w:t>
      </w:r>
    </w:p>
    <w:p w:rsidR="00BC366B" w:rsidRDefault="00BC366B" w:rsidP="00BC366B">
      <w:r>
        <w:t>The acceptance rate is computed two ways:  (1) accepts/ (</w:t>
      </w:r>
      <w:proofErr w:type="spellStart"/>
      <w:r>
        <w:t>rejects+accepts</w:t>
      </w:r>
      <w:proofErr w:type="spellEnd"/>
      <w:r>
        <w:t>); and (2) accepts/# evaluated.</w:t>
      </w:r>
    </w:p>
    <w:p w:rsidR="00BC366B" w:rsidRPr="00F622E9" w:rsidRDefault="00BC366B" w:rsidP="00BC366B">
      <w:pPr>
        <w:rPr>
          <w:sz w:val="20"/>
          <w:szCs w:val="20"/>
        </w:rPr>
      </w:pPr>
      <w:r>
        <w:rPr>
          <w:sz w:val="20"/>
          <w:szCs w:val="20"/>
        </w:rPr>
        <w:t>---------------------------------------------------------------------------------------------------------------------------------</w:t>
      </w:r>
    </w:p>
    <w:p w:rsidR="00BC366B" w:rsidRDefault="00BC366B" w:rsidP="00BC366B"/>
    <w:p w:rsidR="00BC366B" w:rsidRDefault="00BC366B" w:rsidP="00BC366B"/>
    <w:tbl>
      <w:tblPr>
        <w:tblW w:w="0" w:type="auto"/>
        <w:tblLook w:val="0000"/>
      </w:tblPr>
      <w:tblGrid>
        <w:gridCol w:w="8856"/>
      </w:tblGrid>
      <w:tr w:rsidR="00BC366B" w:rsidTr="00EB1253">
        <w:trPr>
          <w:cantSplit/>
        </w:trPr>
        <w:tc>
          <w:tcPr>
            <w:tcW w:w="8856" w:type="dxa"/>
            <w:tcBorders>
              <w:top w:val="single" w:sz="12" w:space="0" w:color="auto"/>
            </w:tcBorders>
          </w:tcPr>
          <w:p w:rsidR="00BC366B" w:rsidRDefault="00BC366B" w:rsidP="00EB1253">
            <w:pPr>
              <w:jc w:val="center"/>
            </w:pPr>
            <w:r>
              <w:t>CHART 1</w:t>
            </w:r>
          </w:p>
          <w:p w:rsidR="00BC366B" w:rsidRDefault="00BC366B" w:rsidP="00EB1253">
            <w:pPr>
              <w:jc w:val="center"/>
            </w:pPr>
            <w:r>
              <w:t>Histogram of Editorial Rounds and Outcomes for (the most recent Year)</w:t>
            </w:r>
          </w:p>
        </w:tc>
      </w:tr>
      <w:tr w:rsidR="00BC366B" w:rsidTr="00EB1253">
        <w:trPr>
          <w:cantSplit/>
          <w:trHeight w:val="2160"/>
        </w:trPr>
        <w:tc>
          <w:tcPr>
            <w:tcW w:w="8856" w:type="dxa"/>
          </w:tcPr>
          <w:p w:rsidR="00BC366B" w:rsidRDefault="00BC366B" w:rsidP="00EB1253">
            <w:pPr>
              <w:jc w:val="center"/>
            </w:pPr>
          </w:p>
          <w:p w:rsidR="00BC366B" w:rsidRDefault="00BC366B" w:rsidP="00EB1253">
            <w:r>
              <w:t xml:space="preserve">Show histograms detailing outcomes by editorial review rounds (e.g., Round 1, Round 2, and Rounds 3 and beyond):  </w:t>
            </w:r>
          </w:p>
          <w:p w:rsidR="00BC366B" w:rsidRDefault="00BC366B" w:rsidP="00BC366B">
            <w:pPr>
              <w:numPr>
                <w:ilvl w:val="0"/>
                <w:numId w:val="6"/>
              </w:numPr>
              <w:spacing w:after="0" w:line="240" w:lineRule="auto"/>
            </w:pPr>
            <w:r>
              <w:t>number of papers accepted by round;</w:t>
            </w:r>
          </w:p>
          <w:p w:rsidR="00BC366B" w:rsidRDefault="00BC366B" w:rsidP="00EB1253">
            <w:r>
              <w:t>Round 1-0</w:t>
            </w:r>
          </w:p>
          <w:p w:rsidR="00BC366B" w:rsidRDefault="00BC366B" w:rsidP="00EB1253">
            <w:r>
              <w:t>Round 2-3</w:t>
            </w:r>
          </w:p>
          <w:p w:rsidR="00BC366B" w:rsidRDefault="00BC366B" w:rsidP="00BC366B">
            <w:pPr>
              <w:numPr>
                <w:ilvl w:val="0"/>
                <w:numId w:val="6"/>
              </w:numPr>
              <w:spacing w:after="0" w:line="240" w:lineRule="auto"/>
            </w:pPr>
            <w:proofErr w:type="gramStart"/>
            <w:r>
              <w:t>number</w:t>
            </w:r>
            <w:proofErr w:type="gramEnd"/>
            <w:r>
              <w:t xml:space="preserve"> of papers rejected by round.</w:t>
            </w:r>
          </w:p>
          <w:p w:rsidR="00BC366B" w:rsidRDefault="00BC366B" w:rsidP="00EB1253">
            <w:r>
              <w:t>Round 1-15</w:t>
            </w:r>
          </w:p>
          <w:p w:rsidR="00BC366B" w:rsidRDefault="00BC366B" w:rsidP="00EB1253"/>
          <w:p w:rsidR="00BC366B" w:rsidRDefault="00BC366B" w:rsidP="00EB1253"/>
        </w:tc>
      </w:tr>
    </w:tbl>
    <w:p w:rsidR="00BC366B" w:rsidRDefault="00BC366B" w:rsidP="00BC366B">
      <w:pPr>
        <w:pBdr>
          <w:bottom w:val="single" w:sz="6" w:space="1" w:color="auto"/>
        </w:pBdr>
        <w:rPr>
          <w:sz w:val="20"/>
          <w:szCs w:val="20"/>
        </w:rPr>
      </w:pPr>
    </w:p>
    <w:p w:rsidR="00BC366B" w:rsidRDefault="00BC366B" w:rsidP="00BC366B">
      <w:pPr>
        <w:rPr>
          <w:sz w:val="20"/>
          <w:szCs w:val="20"/>
        </w:rPr>
      </w:pPr>
    </w:p>
    <w:p w:rsidR="00BC366B" w:rsidRDefault="00BC366B" w:rsidP="00BC366B">
      <w:pPr>
        <w:rPr>
          <w:sz w:val="20"/>
          <w:szCs w:val="20"/>
        </w:rPr>
      </w:pPr>
    </w:p>
    <w:p w:rsidR="00BC366B" w:rsidRPr="00F622E9" w:rsidRDefault="00BC366B" w:rsidP="00BC366B">
      <w:pPr>
        <w:rPr>
          <w:sz w:val="20"/>
          <w:szCs w:val="20"/>
        </w:rPr>
      </w:pPr>
      <w:r>
        <w:rPr>
          <w:sz w:val="20"/>
          <w:szCs w:val="20"/>
        </w:rPr>
        <w:br w:type="page"/>
      </w:r>
    </w:p>
    <w:tbl>
      <w:tblPr>
        <w:tblW w:w="0" w:type="auto"/>
        <w:tblLook w:val="0000"/>
      </w:tblPr>
      <w:tblGrid>
        <w:gridCol w:w="4125"/>
        <w:gridCol w:w="2348"/>
        <w:gridCol w:w="2383"/>
      </w:tblGrid>
      <w:tr w:rsidR="00BC366B" w:rsidTr="00EB1253">
        <w:trPr>
          <w:cantSplit/>
        </w:trPr>
        <w:tc>
          <w:tcPr>
            <w:tcW w:w="8856" w:type="dxa"/>
            <w:gridSpan w:val="3"/>
            <w:tcBorders>
              <w:top w:val="single" w:sz="12" w:space="0" w:color="auto"/>
              <w:bottom w:val="single" w:sz="4" w:space="0" w:color="auto"/>
            </w:tcBorders>
          </w:tcPr>
          <w:p w:rsidR="00BC366B" w:rsidRDefault="00BC366B" w:rsidP="00EB1253">
            <w:pPr>
              <w:jc w:val="center"/>
            </w:pPr>
            <w:r>
              <w:t>TABLE 3</w:t>
            </w:r>
          </w:p>
          <w:p w:rsidR="00BC366B" w:rsidRDefault="00BC366B" w:rsidP="00EB1253">
            <w:pPr>
              <w:jc w:val="center"/>
            </w:pPr>
            <w:r>
              <w:t>Distribution of Author Affiliation of Manuscripts Accepted</w:t>
            </w:r>
          </w:p>
        </w:tc>
      </w:tr>
      <w:tr w:rsidR="00BC366B" w:rsidTr="00EB1253">
        <w:trPr>
          <w:cantSplit/>
        </w:trPr>
        <w:tc>
          <w:tcPr>
            <w:tcW w:w="4125" w:type="dxa"/>
            <w:tcBorders>
              <w:top w:val="single" w:sz="4" w:space="0" w:color="auto"/>
              <w:bottom w:val="single" w:sz="4" w:space="0" w:color="auto"/>
            </w:tcBorders>
          </w:tcPr>
          <w:p w:rsidR="00BC366B" w:rsidRDefault="00BC366B" w:rsidP="00EB1253">
            <w:pPr>
              <w:jc w:val="center"/>
            </w:pPr>
          </w:p>
          <w:p w:rsidR="00BC366B" w:rsidRDefault="00BC366B" w:rsidP="00EB1253">
            <w:pPr>
              <w:jc w:val="center"/>
            </w:pPr>
          </w:p>
          <w:p w:rsidR="00BC366B" w:rsidRDefault="00BC366B" w:rsidP="00EB1253">
            <w:pPr>
              <w:jc w:val="center"/>
            </w:pPr>
            <w:r>
              <w:t>Author Affiliation by School</w:t>
            </w:r>
          </w:p>
        </w:tc>
        <w:tc>
          <w:tcPr>
            <w:tcW w:w="2348" w:type="dxa"/>
            <w:tcBorders>
              <w:top w:val="single" w:sz="4" w:space="0" w:color="auto"/>
              <w:bottom w:val="single" w:sz="4" w:space="0" w:color="auto"/>
            </w:tcBorders>
          </w:tcPr>
          <w:p w:rsidR="00BC366B" w:rsidRDefault="00BC366B" w:rsidP="00EB1253">
            <w:pPr>
              <w:jc w:val="center"/>
            </w:pPr>
            <w:r>
              <w:t># of Authors</w:t>
            </w:r>
          </w:p>
          <w:p w:rsidR="00BC366B" w:rsidRDefault="00BC366B" w:rsidP="00EB1253">
            <w:pPr>
              <w:jc w:val="center"/>
            </w:pPr>
            <w:r>
              <w:t xml:space="preserve">Current </w:t>
            </w:r>
          </w:p>
          <w:p w:rsidR="00BC366B" w:rsidRDefault="00BC366B" w:rsidP="00EB1253">
            <w:pPr>
              <w:jc w:val="center"/>
            </w:pPr>
            <w:r>
              <w:t>Year</w:t>
            </w:r>
          </w:p>
        </w:tc>
        <w:tc>
          <w:tcPr>
            <w:tcW w:w="2383" w:type="dxa"/>
            <w:tcBorders>
              <w:top w:val="single" w:sz="4" w:space="0" w:color="auto"/>
              <w:bottom w:val="single" w:sz="4" w:space="0" w:color="auto"/>
            </w:tcBorders>
          </w:tcPr>
          <w:p w:rsidR="00BC366B" w:rsidRDefault="00BC366B" w:rsidP="00EB1253">
            <w:pPr>
              <w:jc w:val="center"/>
            </w:pPr>
            <w:r>
              <w:t># of Authors</w:t>
            </w:r>
          </w:p>
          <w:p w:rsidR="00BC366B" w:rsidRDefault="00BC366B" w:rsidP="00EB1253">
            <w:pPr>
              <w:jc w:val="center"/>
            </w:pPr>
            <w:r>
              <w:t>Cumulative</w:t>
            </w:r>
          </w:p>
          <w:p w:rsidR="00BC366B" w:rsidRDefault="00BC366B" w:rsidP="00EB1253">
            <w:pPr>
              <w:jc w:val="center"/>
            </w:pPr>
            <w:r>
              <w:t>from 2009</w:t>
            </w:r>
          </w:p>
        </w:tc>
      </w:tr>
      <w:tr w:rsidR="00BC366B" w:rsidTr="00EB1253">
        <w:trPr>
          <w:cantSplit/>
        </w:trPr>
        <w:tc>
          <w:tcPr>
            <w:tcW w:w="4125" w:type="dxa"/>
            <w:tcBorders>
              <w:top w:val="single" w:sz="4" w:space="0" w:color="auto"/>
            </w:tcBorders>
          </w:tcPr>
          <w:p w:rsidR="00BC366B" w:rsidRDefault="00BC366B" w:rsidP="00EB1253">
            <w:pPr>
              <w:jc w:val="center"/>
            </w:pPr>
          </w:p>
        </w:tc>
        <w:tc>
          <w:tcPr>
            <w:tcW w:w="2348" w:type="dxa"/>
            <w:tcBorders>
              <w:top w:val="single" w:sz="4" w:space="0" w:color="auto"/>
            </w:tcBorders>
          </w:tcPr>
          <w:p w:rsidR="00BC366B" w:rsidRDefault="00BC366B" w:rsidP="00EB1253"/>
        </w:tc>
        <w:tc>
          <w:tcPr>
            <w:tcW w:w="2383" w:type="dxa"/>
            <w:tcBorders>
              <w:top w:val="single" w:sz="4" w:space="0" w:color="auto"/>
            </w:tcBorders>
          </w:tcPr>
          <w:p w:rsidR="00BC366B" w:rsidRDefault="00BC366B" w:rsidP="00EB1253"/>
        </w:tc>
      </w:tr>
      <w:tr w:rsidR="00BC366B" w:rsidTr="00EB1253">
        <w:trPr>
          <w:cantSplit/>
        </w:trPr>
        <w:tc>
          <w:tcPr>
            <w:tcW w:w="4125" w:type="dxa"/>
          </w:tcPr>
          <w:p w:rsidR="00BC366B" w:rsidRDefault="00BC366B" w:rsidP="00EB1253">
            <w:pPr>
              <w:jc w:val="center"/>
            </w:pPr>
          </w:p>
        </w:tc>
        <w:tc>
          <w:tcPr>
            <w:tcW w:w="2348" w:type="dxa"/>
          </w:tcPr>
          <w:p w:rsidR="00BC366B" w:rsidRDefault="00BC366B" w:rsidP="00EB1253"/>
        </w:tc>
        <w:tc>
          <w:tcPr>
            <w:tcW w:w="2383" w:type="dxa"/>
          </w:tcPr>
          <w:p w:rsidR="00BC366B" w:rsidRDefault="00BC366B" w:rsidP="00EB1253"/>
        </w:tc>
      </w:tr>
      <w:tr w:rsidR="00BC366B" w:rsidTr="00EB1253">
        <w:trPr>
          <w:cantSplit/>
        </w:trPr>
        <w:tc>
          <w:tcPr>
            <w:tcW w:w="4125" w:type="dxa"/>
          </w:tcPr>
          <w:p w:rsidR="00BC366B" w:rsidRDefault="00BC366B" w:rsidP="00EB1253">
            <w:pPr>
              <w:jc w:val="center"/>
            </w:pPr>
          </w:p>
        </w:tc>
        <w:tc>
          <w:tcPr>
            <w:tcW w:w="2348" w:type="dxa"/>
          </w:tcPr>
          <w:p w:rsidR="00BC366B" w:rsidRDefault="00BC366B" w:rsidP="00EB1253"/>
        </w:tc>
        <w:tc>
          <w:tcPr>
            <w:tcW w:w="2383" w:type="dxa"/>
          </w:tcPr>
          <w:p w:rsidR="00BC366B" w:rsidRDefault="00BC366B" w:rsidP="00EB1253"/>
        </w:tc>
      </w:tr>
      <w:tr w:rsidR="00BC366B" w:rsidTr="00EB1253">
        <w:trPr>
          <w:cantSplit/>
        </w:trPr>
        <w:tc>
          <w:tcPr>
            <w:tcW w:w="4125" w:type="dxa"/>
          </w:tcPr>
          <w:p w:rsidR="00BC366B" w:rsidRDefault="00BC366B" w:rsidP="00EB1253">
            <w:pPr>
              <w:jc w:val="center"/>
            </w:pPr>
          </w:p>
        </w:tc>
        <w:tc>
          <w:tcPr>
            <w:tcW w:w="2348" w:type="dxa"/>
          </w:tcPr>
          <w:p w:rsidR="00BC366B" w:rsidRDefault="00BC366B" w:rsidP="00EB1253"/>
        </w:tc>
        <w:tc>
          <w:tcPr>
            <w:tcW w:w="2383" w:type="dxa"/>
          </w:tcPr>
          <w:p w:rsidR="00BC366B" w:rsidRDefault="00BC366B" w:rsidP="00EB1253"/>
        </w:tc>
      </w:tr>
      <w:tr w:rsidR="00BC366B" w:rsidTr="00EB1253">
        <w:trPr>
          <w:cantSplit/>
        </w:trPr>
        <w:tc>
          <w:tcPr>
            <w:tcW w:w="4125" w:type="dxa"/>
          </w:tcPr>
          <w:p w:rsidR="00BC366B" w:rsidRDefault="00BC366B" w:rsidP="00EB1253">
            <w:pPr>
              <w:jc w:val="center"/>
            </w:pPr>
          </w:p>
        </w:tc>
        <w:tc>
          <w:tcPr>
            <w:tcW w:w="2348" w:type="dxa"/>
          </w:tcPr>
          <w:p w:rsidR="00BC366B" w:rsidRDefault="00BC366B" w:rsidP="00EB1253">
            <w:pPr>
              <w:jc w:val="center"/>
            </w:pPr>
          </w:p>
        </w:tc>
        <w:tc>
          <w:tcPr>
            <w:tcW w:w="2383" w:type="dxa"/>
          </w:tcPr>
          <w:p w:rsidR="00BC366B" w:rsidRDefault="00BC366B" w:rsidP="00EB1253">
            <w:pPr>
              <w:jc w:val="center"/>
            </w:pPr>
          </w:p>
        </w:tc>
      </w:tr>
      <w:tr w:rsidR="00BC366B" w:rsidTr="00EB1253">
        <w:trPr>
          <w:cantSplit/>
        </w:trPr>
        <w:tc>
          <w:tcPr>
            <w:tcW w:w="4125" w:type="dxa"/>
          </w:tcPr>
          <w:p w:rsidR="00BC366B" w:rsidRDefault="00BC366B" w:rsidP="00EB1253">
            <w:pPr>
              <w:jc w:val="center"/>
            </w:pPr>
          </w:p>
        </w:tc>
        <w:tc>
          <w:tcPr>
            <w:tcW w:w="2348" w:type="dxa"/>
          </w:tcPr>
          <w:p w:rsidR="00BC366B" w:rsidRDefault="00BC366B" w:rsidP="00EB1253">
            <w:pPr>
              <w:jc w:val="center"/>
            </w:pPr>
          </w:p>
        </w:tc>
        <w:tc>
          <w:tcPr>
            <w:tcW w:w="2383" w:type="dxa"/>
          </w:tcPr>
          <w:p w:rsidR="00BC366B" w:rsidRDefault="00BC366B" w:rsidP="00EB1253">
            <w:pPr>
              <w:jc w:val="center"/>
            </w:pPr>
          </w:p>
        </w:tc>
      </w:tr>
      <w:tr w:rsidR="00BC366B" w:rsidTr="00EB1253">
        <w:trPr>
          <w:cantSplit/>
        </w:trPr>
        <w:tc>
          <w:tcPr>
            <w:tcW w:w="4125" w:type="dxa"/>
            <w:tcBorders>
              <w:bottom w:val="single" w:sz="6" w:space="0" w:color="auto"/>
            </w:tcBorders>
          </w:tcPr>
          <w:p w:rsidR="00BC366B" w:rsidRDefault="00BC366B" w:rsidP="00EB1253">
            <w:pPr>
              <w:jc w:val="center"/>
            </w:pPr>
          </w:p>
          <w:p w:rsidR="00BC366B" w:rsidRDefault="00BC366B" w:rsidP="00EB1253">
            <w:pPr>
              <w:jc w:val="center"/>
            </w:pPr>
          </w:p>
          <w:p w:rsidR="00BC366B" w:rsidRDefault="00BC366B" w:rsidP="00EB1253">
            <w:pPr>
              <w:jc w:val="center"/>
            </w:pPr>
            <w:r>
              <w:t xml:space="preserve">Author Affiliation: </w:t>
            </w:r>
          </w:p>
        </w:tc>
        <w:tc>
          <w:tcPr>
            <w:tcW w:w="2348" w:type="dxa"/>
            <w:tcBorders>
              <w:bottom w:val="single" w:sz="4" w:space="0" w:color="auto"/>
            </w:tcBorders>
          </w:tcPr>
          <w:p w:rsidR="00BC366B" w:rsidRDefault="00BC366B" w:rsidP="00EB1253">
            <w:pPr>
              <w:jc w:val="center"/>
            </w:pPr>
            <w:r>
              <w:t># of Authors</w:t>
            </w:r>
          </w:p>
          <w:p w:rsidR="00BC366B" w:rsidRDefault="00BC366B" w:rsidP="00EB1253">
            <w:pPr>
              <w:jc w:val="center"/>
            </w:pPr>
            <w:r>
              <w:t>Current</w:t>
            </w:r>
          </w:p>
          <w:p w:rsidR="00BC366B" w:rsidRDefault="00BC366B" w:rsidP="00EB1253">
            <w:pPr>
              <w:jc w:val="center"/>
            </w:pPr>
            <w:r>
              <w:t>Year</w:t>
            </w:r>
          </w:p>
        </w:tc>
        <w:tc>
          <w:tcPr>
            <w:tcW w:w="2383" w:type="dxa"/>
            <w:tcBorders>
              <w:bottom w:val="single" w:sz="4" w:space="0" w:color="auto"/>
            </w:tcBorders>
          </w:tcPr>
          <w:p w:rsidR="00BC366B" w:rsidRDefault="00BC366B" w:rsidP="00EB1253">
            <w:pPr>
              <w:jc w:val="center"/>
            </w:pPr>
            <w:r>
              <w:t># of Authors</w:t>
            </w:r>
          </w:p>
          <w:p w:rsidR="00BC366B" w:rsidRDefault="00BC366B" w:rsidP="00EB1253">
            <w:pPr>
              <w:jc w:val="center"/>
            </w:pPr>
            <w:r>
              <w:t>Cumulative</w:t>
            </w:r>
          </w:p>
          <w:p w:rsidR="00BC366B" w:rsidRDefault="00BC366B" w:rsidP="00EB1253">
            <w:pPr>
              <w:jc w:val="center"/>
            </w:pPr>
            <w:r>
              <w:t>From 2009</w:t>
            </w:r>
          </w:p>
        </w:tc>
      </w:tr>
      <w:tr w:rsidR="00BC366B" w:rsidTr="00EB1253">
        <w:trPr>
          <w:cantSplit/>
        </w:trPr>
        <w:tc>
          <w:tcPr>
            <w:tcW w:w="4125" w:type="dxa"/>
            <w:tcBorders>
              <w:top w:val="single" w:sz="6" w:space="0" w:color="auto"/>
            </w:tcBorders>
          </w:tcPr>
          <w:p w:rsidR="00BC366B" w:rsidRDefault="00BC366B" w:rsidP="00EB1253">
            <w:pPr>
              <w:jc w:val="center"/>
            </w:pPr>
            <w:r>
              <w:t>U.S. Institutions</w:t>
            </w:r>
          </w:p>
        </w:tc>
        <w:tc>
          <w:tcPr>
            <w:tcW w:w="2348" w:type="dxa"/>
            <w:tcBorders>
              <w:top w:val="single" w:sz="4" w:space="0" w:color="auto"/>
            </w:tcBorders>
          </w:tcPr>
          <w:p w:rsidR="00BC366B" w:rsidRDefault="00BC366B" w:rsidP="00EB1253">
            <w:pPr>
              <w:jc w:val="center"/>
            </w:pPr>
            <w:r>
              <w:t>1.5</w:t>
            </w:r>
          </w:p>
        </w:tc>
        <w:tc>
          <w:tcPr>
            <w:tcW w:w="2383" w:type="dxa"/>
            <w:tcBorders>
              <w:top w:val="single" w:sz="4" w:space="0" w:color="auto"/>
            </w:tcBorders>
          </w:tcPr>
          <w:p w:rsidR="00BC366B" w:rsidRDefault="00BC366B" w:rsidP="00EB1253">
            <w:pPr>
              <w:jc w:val="center"/>
            </w:pPr>
            <w:r>
              <w:t>1.5</w:t>
            </w:r>
          </w:p>
        </w:tc>
      </w:tr>
      <w:tr w:rsidR="00BC366B" w:rsidTr="00EB1253">
        <w:trPr>
          <w:cantSplit/>
        </w:trPr>
        <w:tc>
          <w:tcPr>
            <w:tcW w:w="4125" w:type="dxa"/>
          </w:tcPr>
          <w:p w:rsidR="00BC366B" w:rsidRDefault="00BC366B" w:rsidP="00EB1253">
            <w:pPr>
              <w:jc w:val="center"/>
            </w:pPr>
            <w:r>
              <w:t>Non-U.S. Institutions</w:t>
            </w:r>
          </w:p>
        </w:tc>
        <w:tc>
          <w:tcPr>
            <w:tcW w:w="2348" w:type="dxa"/>
          </w:tcPr>
          <w:p w:rsidR="00BC366B" w:rsidRDefault="00BC366B" w:rsidP="00EB1253">
            <w:pPr>
              <w:jc w:val="center"/>
            </w:pPr>
            <w:r>
              <w:t>1.5</w:t>
            </w:r>
          </w:p>
        </w:tc>
        <w:tc>
          <w:tcPr>
            <w:tcW w:w="2383" w:type="dxa"/>
          </w:tcPr>
          <w:p w:rsidR="00BC366B" w:rsidRDefault="00BC366B" w:rsidP="00EB1253">
            <w:pPr>
              <w:jc w:val="center"/>
            </w:pPr>
            <w:r>
              <w:t>3</w:t>
            </w:r>
          </w:p>
        </w:tc>
      </w:tr>
      <w:tr w:rsidR="00BC366B" w:rsidTr="00EB1253">
        <w:trPr>
          <w:cantSplit/>
        </w:trPr>
        <w:tc>
          <w:tcPr>
            <w:tcW w:w="4125" w:type="dxa"/>
            <w:tcBorders>
              <w:bottom w:val="single" w:sz="12" w:space="0" w:color="auto"/>
            </w:tcBorders>
          </w:tcPr>
          <w:p w:rsidR="00BC366B" w:rsidRDefault="00BC366B" w:rsidP="00EB1253">
            <w:pPr>
              <w:jc w:val="center"/>
            </w:pPr>
          </w:p>
        </w:tc>
        <w:tc>
          <w:tcPr>
            <w:tcW w:w="2348" w:type="dxa"/>
            <w:tcBorders>
              <w:bottom w:val="single" w:sz="12" w:space="0" w:color="auto"/>
            </w:tcBorders>
          </w:tcPr>
          <w:p w:rsidR="00BC366B" w:rsidRDefault="00BC366B" w:rsidP="00EB1253">
            <w:pPr>
              <w:jc w:val="center"/>
            </w:pPr>
          </w:p>
        </w:tc>
        <w:tc>
          <w:tcPr>
            <w:tcW w:w="2383" w:type="dxa"/>
            <w:tcBorders>
              <w:bottom w:val="single" w:sz="12" w:space="0" w:color="auto"/>
            </w:tcBorders>
          </w:tcPr>
          <w:p w:rsidR="00BC366B" w:rsidRDefault="00BC366B" w:rsidP="00EB1253">
            <w:pPr>
              <w:jc w:val="center"/>
            </w:pPr>
          </w:p>
        </w:tc>
      </w:tr>
    </w:tbl>
    <w:p w:rsidR="00BC366B" w:rsidRDefault="00BC366B" w:rsidP="00BC366B">
      <w:pPr>
        <w:pBdr>
          <w:bottom w:val="single" w:sz="6" w:space="1" w:color="auto"/>
        </w:pBdr>
      </w:pPr>
      <w:r>
        <w:t>For articles with multiple authors, each author is given 1/n of the credit for each paper, where n is the number of authors of the paper.</w:t>
      </w:r>
    </w:p>
    <w:p w:rsidR="00BC366B" w:rsidRDefault="00BC366B" w:rsidP="00BC366B">
      <w:pPr>
        <w:rPr>
          <w:sz w:val="20"/>
          <w:szCs w:val="20"/>
        </w:rPr>
      </w:pPr>
    </w:p>
    <w:p w:rsidR="00BC366B" w:rsidRDefault="00BC366B" w:rsidP="00BC366B">
      <w:pPr>
        <w:rPr>
          <w:sz w:val="20"/>
          <w:szCs w:val="20"/>
        </w:rPr>
      </w:pPr>
    </w:p>
    <w:p w:rsidR="00BC366B" w:rsidRDefault="00BC366B" w:rsidP="00BC366B">
      <w:pPr>
        <w:rPr>
          <w:sz w:val="20"/>
          <w:szCs w:val="20"/>
        </w:rPr>
      </w:pPr>
    </w:p>
    <w:p w:rsidR="00BC366B" w:rsidRPr="00F622E9" w:rsidRDefault="00BC366B" w:rsidP="00BC366B">
      <w:pPr>
        <w:rPr>
          <w:sz w:val="20"/>
          <w:szCs w:val="20"/>
        </w:rPr>
      </w:pPr>
    </w:p>
    <w:tbl>
      <w:tblPr>
        <w:tblW w:w="0" w:type="auto"/>
        <w:tblLook w:val="0000"/>
      </w:tblPr>
      <w:tblGrid>
        <w:gridCol w:w="1818"/>
        <w:gridCol w:w="1800"/>
        <w:gridCol w:w="1530"/>
        <w:gridCol w:w="1530"/>
        <w:gridCol w:w="1620"/>
      </w:tblGrid>
      <w:tr w:rsidR="00BC366B" w:rsidTr="00EB1253">
        <w:trPr>
          <w:cantSplit/>
        </w:trPr>
        <w:tc>
          <w:tcPr>
            <w:tcW w:w="8298" w:type="dxa"/>
            <w:gridSpan w:val="5"/>
            <w:tcBorders>
              <w:top w:val="single" w:sz="12" w:space="0" w:color="auto"/>
              <w:bottom w:val="single" w:sz="4" w:space="0" w:color="auto"/>
            </w:tcBorders>
          </w:tcPr>
          <w:p w:rsidR="00BC366B" w:rsidRDefault="00BC366B" w:rsidP="00EB1253">
            <w:pPr>
              <w:jc w:val="center"/>
            </w:pPr>
            <w:r>
              <w:t>TABLE 4</w:t>
            </w:r>
          </w:p>
          <w:p w:rsidR="00BC366B" w:rsidRDefault="00BC366B" w:rsidP="00EB1253">
            <w:pPr>
              <w:jc w:val="center"/>
            </w:pPr>
            <w:r>
              <w:t>Detailed Processing Time Summary for 12 month period ending xxx</w:t>
            </w:r>
          </w:p>
        </w:tc>
      </w:tr>
      <w:tr w:rsidR="00BC366B" w:rsidTr="00EB1253">
        <w:trPr>
          <w:cantSplit/>
        </w:trPr>
        <w:tc>
          <w:tcPr>
            <w:tcW w:w="1818" w:type="dxa"/>
            <w:tcBorders>
              <w:top w:val="single" w:sz="4" w:space="0" w:color="auto"/>
              <w:bottom w:val="single" w:sz="4" w:space="0" w:color="auto"/>
            </w:tcBorders>
          </w:tcPr>
          <w:p w:rsidR="00BC366B" w:rsidRDefault="00BC366B" w:rsidP="00EB1253">
            <w:pPr>
              <w:jc w:val="center"/>
            </w:pPr>
            <w:r>
              <w:t>Time</w:t>
            </w:r>
          </w:p>
        </w:tc>
        <w:tc>
          <w:tcPr>
            <w:tcW w:w="1800" w:type="dxa"/>
            <w:tcBorders>
              <w:top w:val="single" w:sz="4" w:space="0" w:color="auto"/>
              <w:bottom w:val="single" w:sz="4" w:space="0" w:color="auto"/>
            </w:tcBorders>
          </w:tcPr>
          <w:p w:rsidR="00BC366B" w:rsidRDefault="00BC366B" w:rsidP="00EB1253">
            <w:pPr>
              <w:jc w:val="center"/>
            </w:pPr>
            <w:r>
              <w:t>Number of Manuscripts</w:t>
            </w:r>
          </w:p>
        </w:tc>
        <w:tc>
          <w:tcPr>
            <w:tcW w:w="1530" w:type="dxa"/>
            <w:tcBorders>
              <w:top w:val="single" w:sz="4" w:space="0" w:color="auto"/>
              <w:bottom w:val="single" w:sz="4" w:space="0" w:color="auto"/>
            </w:tcBorders>
          </w:tcPr>
          <w:p w:rsidR="00BC366B" w:rsidRDefault="00BC366B" w:rsidP="00EB1253">
            <w:pPr>
              <w:jc w:val="center"/>
            </w:pPr>
            <w:r>
              <w:t>Percent</w:t>
            </w:r>
          </w:p>
        </w:tc>
        <w:tc>
          <w:tcPr>
            <w:tcW w:w="1530" w:type="dxa"/>
            <w:tcBorders>
              <w:top w:val="single" w:sz="4" w:space="0" w:color="auto"/>
              <w:bottom w:val="single" w:sz="4" w:space="0" w:color="auto"/>
            </w:tcBorders>
          </w:tcPr>
          <w:p w:rsidR="00BC366B" w:rsidRDefault="00BC366B" w:rsidP="00EB1253">
            <w:pPr>
              <w:jc w:val="center"/>
            </w:pPr>
            <w:r>
              <w:t>Cumulative Number</w:t>
            </w:r>
          </w:p>
        </w:tc>
        <w:tc>
          <w:tcPr>
            <w:tcW w:w="1620" w:type="dxa"/>
            <w:tcBorders>
              <w:top w:val="single" w:sz="4" w:space="0" w:color="auto"/>
              <w:bottom w:val="single" w:sz="4" w:space="0" w:color="auto"/>
            </w:tcBorders>
          </w:tcPr>
          <w:p w:rsidR="00BC366B" w:rsidRDefault="00BC366B" w:rsidP="00EB1253">
            <w:pPr>
              <w:jc w:val="center"/>
            </w:pPr>
            <w:r>
              <w:t>Cumulative Percent</w:t>
            </w:r>
          </w:p>
        </w:tc>
      </w:tr>
      <w:tr w:rsidR="00BC366B" w:rsidTr="00EB1253">
        <w:trPr>
          <w:cantSplit/>
        </w:trPr>
        <w:tc>
          <w:tcPr>
            <w:tcW w:w="1818" w:type="dxa"/>
            <w:tcBorders>
              <w:top w:val="single" w:sz="4" w:space="0" w:color="auto"/>
            </w:tcBorders>
          </w:tcPr>
          <w:p w:rsidR="00BC366B" w:rsidRDefault="00BC366B" w:rsidP="00EB1253">
            <w:pPr>
              <w:jc w:val="center"/>
            </w:pPr>
            <w:r>
              <w:t>0 ≤ Days ≤ 30</w:t>
            </w:r>
          </w:p>
        </w:tc>
        <w:tc>
          <w:tcPr>
            <w:tcW w:w="1800" w:type="dxa"/>
            <w:tcBorders>
              <w:top w:val="single" w:sz="4" w:space="0" w:color="auto"/>
            </w:tcBorders>
          </w:tcPr>
          <w:p w:rsidR="00BC366B" w:rsidRDefault="00BC366B" w:rsidP="00EB1253">
            <w:r>
              <w:t xml:space="preserve">          10</w:t>
            </w:r>
          </w:p>
        </w:tc>
        <w:tc>
          <w:tcPr>
            <w:tcW w:w="1530" w:type="dxa"/>
            <w:tcBorders>
              <w:top w:val="single" w:sz="4" w:space="0" w:color="auto"/>
            </w:tcBorders>
          </w:tcPr>
          <w:p w:rsidR="00BC366B" w:rsidRDefault="00BC366B" w:rsidP="00EB1253">
            <w:r>
              <w:t xml:space="preserve">     47.6</w:t>
            </w:r>
          </w:p>
        </w:tc>
        <w:tc>
          <w:tcPr>
            <w:tcW w:w="1530" w:type="dxa"/>
            <w:tcBorders>
              <w:top w:val="single" w:sz="4" w:space="0" w:color="auto"/>
            </w:tcBorders>
          </w:tcPr>
          <w:p w:rsidR="00BC366B" w:rsidRDefault="00BC366B" w:rsidP="00EB1253">
            <w:r>
              <w:t xml:space="preserve">         10</w:t>
            </w:r>
          </w:p>
        </w:tc>
        <w:tc>
          <w:tcPr>
            <w:tcW w:w="1620" w:type="dxa"/>
            <w:tcBorders>
              <w:top w:val="single" w:sz="4" w:space="0" w:color="auto"/>
            </w:tcBorders>
          </w:tcPr>
          <w:p w:rsidR="00BC366B" w:rsidRDefault="00BC366B" w:rsidP="00EB1253">
            <w:r>
              <w:t xml:space="preserve">       47.6</w:t>
            </w:r>
          </w:p>
        </w:tc>
      </w:tr>
      <w:tr w:rsidR="00BC366B" w:rsidTr="00EB1253">
        <w:trPr>
          <w:cantSplit/>
        </w:trPr>
        <w:tc>
          <w:tcPr>
            <w:tcW w:w="1818" w:type="dxa"/>
          </w:tcPr>
          <w:p w:rsidR="00BC366B" w:rsidRDefault="00BC366B" w:rsidP="00EB1253">
            <w:pPr>
              <w:jc w:val="center"/>
            </w:pPr>
            <w:r>
              <w:t>31 ≤ Days ≤ 60</w:t>
            </w:r>
          </w:p>
        </w:tc>
        <w:tc>
          <w:tcPr>
            <w:tcW w:w="1800" w:type="dxa"/>
          </w:tcPr>
          <w:p w:rsidR="00BC366B" w:rsidRDefault="00BC366B" w:rsidP="00EB1253">
            <w:r>
              <w:t xml:space="preserve">            4</w:t>
            </w:r>
          </w:p>
        </w:tc>
        <w:tc>
          <w:tcPr>
            <w:tcW w:w="1530" w:type="dxa"/>
          </w:tcPr>
          <w:p w:rsidR="00BC366B" w:rsidRDefault="00BC366B" w:rsidP="00EB1253">
            <w:r>
              <w:t xml:space="preserve">     19.0</w:t>
            </w:r>
          </w:p>
        </w:tc>
        <w:tc>
          <w:tcPr>
            <w:tcW w:w="1530" w:type="dxa"/>
          </w:tcPr>
          <w:p w:rsidR="00BC366B" w:rsidRDefault="00BC366B" w:rsidP="00EB1253">
            <w:r>
              <w:t xml:space="preserve">         14</w:t>
            </w:r>
          </w:p>
        </w:tc>
        <w:tc>
          <w:tcPr>
            <w:tcW w:w="1620" w:type="dxa"/>
          </w:tcPr>
          <w:p w:rsidR="00BC366B" w:rsidRDefault="00BC366B" w:rsidP="00EB1253">
            <w:r>
              <w:t xml:space="preserve">       66.6</w:t>
            </w:r>
          </w:p>
        </w:tc>
      </w:tr>
      <w:tr w:rsidR="00BC366B" w:rsidTr="00EB1253">
        <w:trPr>
          <w:cantSplit/>
        </w:trPr>
        <w:tc>
          <w:tcPr>
            <w:tcW w:w="1818" w:type="dxa"/>
          </w:tcPr>
          <w:p w:rsidR="00BC366B" w:rsidRDefault="00BC366B" w:rsidP="00EB1253">
            <w:pPr>
              <w:jc w:val="center"/>
            </w:pPr>
            <w:r>
              <w:t>61 ≤ Days ≤ 90</w:t>
            </w:r>
          </w:p>
        </w:tc>
        <w:tc>
          <w:tcPr>
            <w:tcW w:w="1800" w:type="dxa"/>
          </w:tcPr>
          <w:p w:rsidR="00BC366B" w:rsidRDefault="00BC366B" w:rsidP="00EB1253">
            <w:r>
              <w:t xml:space="preserve">            3</w:t>
            </w:r>
          </w:p>
        </w:tc>
        <w:tc>
          <w:tcPr>
            <w:tcW w:w="1530" w:type="dxa"/>
          </w:tcPr>
          <w:p w:rsidR="00BC366B" w:rsidRDefault="00BC366B" w:rsidP="00EB1253">
            <w:r>
              <w:t xml:space="preserve">     14.3</w:t>
            </w:r>
          </w:p>
        </w:tc>
        <w:tc>
          <w:tcPr>
            <w:tcW w:w="1530" w:type="dxa"/>
          </w:tcPr>
          <w:p w:rsidR="00BC366B" w:rsidRDefault="00BC366B" w:rsidP="00EB1253">
            <w:r>
              <w:t xml:space="preserve">         17</w:t>
            </w:r>
          </w:p>
        </w:tc>
        <w:tc>
          <w:tcPr>
            <w:tcW w:w="1620" w:type="dxa"/>
          </w:tcPr>
          <w:p w:rsidR="00BC366B" w:rsidRDefault="00BC366B" w:rsidP="00EB1253">
            <w:r>
              <w:t xml:space="preserve">       80.9</w:t>
            </w:r>
          </w:p>
        </w:tc>
      </w:tr>
      <w:tr w:rsidR="00BC366B" w:rsidTr="00EB1253">
        <w:trPr>
          <w:cantSplit/>
        </w:trPr>
        <w:tc>
          <w:tcPr>
            <w:tcW w:w="1818" w:type="dxa"/>
          </w:tcPr>
          <w:p w:rsidR="00BC366B" w:rsidRDefault="00BC366B" w:rsidP="00EB1253">
            <w:pPr>
              <w:jc w:val="center"/>
            </w:pPr>
            <w:r>
              <w:t>91 ≤ Days ≤ 120</w:t>
            </w:r>
          </w:p>
        </w:tc>
        <w:tc>
          <w:tcPr>
            <w:tcW w:w="1800" w:type="dxa"/>
          </w:tcPr>
          <w:p w:rsidR="00BC366B" w:rsidRDefault="00BC366B" w:rsidP="00EB1253">
            <w:r>
              <w:t xml:space="preserve">            1</w:t>
            </w:r>
          </w:p>
        </w:tc>
        <w:tc>
          <w:tcPr>
            <w:tcW w:w="1530" w:type="dxa"/>
          </w:tcPr>
          <w:p w:rsidR="00BC366B" w:rsidRDefault="00BC366B" w:rsidP="00EB1253">
            <w:r>
              <w:t xml:space="preserve">       4.8</w:t>
            </w:r>
          </w:p>
        </w:tc>
        <w:tc>
          <w:tcPr>
            <w:tcW w:w="1530" w:type="dxa"/>
          </w:tcPr>
          <w:p w:rsidR="00BC366B" w:rsidRDefault="00BC366B" w:rsidP="00EB1253">
            <w:r>
              <w:t xml:space="preserve">         18</w:t>
            </w:r>
          </w:p>
        </w:tc>
        <w:tc>
          <w:tcPr>
            <w:tcW w:w="1620" w:type="dxa"/>
          </w:tcPr>
          <w:p w:rsidR="00BC366B" w:rsidRDefault="00BC366B" w:rsidP="00EB1253">
            <w:r>
              <w:t xml:space="preserve">       85.7</w:t>
            </w:r>
          </w:p>
        </w:tc>
      </w:tr>
      <w:tr w:rsidR="00BC366B" w:rsidTr="00EB1253">
        <w:trPr>
          <w:cantSplit/>
        </w:trPr>
        <w:tc>
          <w:tcPr>
            <w:tcW w:w="1818" w:type="dxa"/>
          </w:tcPr>
          <w:p w:rsidR="00BC366B" w:rsidRDefault="00BC366B" w:rsidP="00EB1253">
            <w:pPr>
              <w:jc w:val="center"/>
            </w:pPr>
            <w:r>
              <w:t xml:space="preserve">121 ≤ Days </w:t>
            </w:r>
          </w:p>
        </w:tc>
        <w:tc>
          <w:tcPr>
            <w:tcW w:w="1800" w:type="dxa"/>
          </w:tcPr>
          <w:p w:rsidR="00BC366B" w:rsidRDefault="00BC366B" w:rsidP="00EB1253">
            <w:r>
              <w:t xml:space="preserve">            3</w:t>
            </w:r>
          </w:p>
        </w:tc>
        <w:tc>
          <w:tcPr>
            <w:tcW w:w="1530" w:type="dxa"/>
          </w:tcPr>
          <w:p w:rsidR="00BC366B" w:rsidRDefault="00BC366B" w:rsidP="00EB1253">
            <w:r>
              <w:t xml:space="preserve">     14.3</w:t>
            </w:r>
          </w:p>
        </w:tc>
        <w:tc>
          <w:tcPr>
            <w:tcW w:w="1530" w:type="dxa"/>
          </w:tcPr>
          <w:p w:rsidR="00BC366B" w:rsidRDefault="00BC366B" w:rsidP="00EB1253">
            <w:r>
              <w:t xml:space="preserve">         21</w:t>
            </w:r>
          </w:p>
        </w:tc>
        <w:tc>
          <w:tcPr>
            <w:tcW w:w="1620" w:type="dxa"/>
          </w:tcPr>
          <w:p w:rsidR="00BC366B" w:rsidRDefault="00BC366B" w:rsidP="00EB1253">
            <w:r>
              <w:t xml:space="preserve">      100.0 </w:t>
            </w:r>
          </w:p>
        </w:tc>
      </w:tr>
      <w:tr w:rsidR="00BC366B" w:rsidTr="00EB1253">
        <w:trPr>
          <w:cantSplit/>
        </w:trPr>
        <w:tc>
          <w:tcPr>
            <w:tcW w:w="1818" w:type="dxa"/>
          </w:tcPr>
          <w:p w:rsidR="00BC366B" w:rsidRDefault="00BC366B" w:rsidP="00EB1253">
            <w:pPr>
              <w:jc w:val="center"/>
            </w:pPr>
          </w:p>
        </w:tc>
        <w:tc>
          <w:tcPr>
            <w:tcW w:w="1800" w:type="dxa"/>
          </w:tcPr>
          <w:p w:rsidR="00BC366B" w:rsidRDefault="00BC366B" w:rsidP="00EB1253"/>
        </w:tc>
        <w:tc>
          <w:tcPr>
            <w:tcW w:w="1530" w:type="dxa"/>
          </w:tcPr>
          <w:p w:rsidR="00BC366B" w:rsidRDefault="00BC366B" w:rsidP="00EB1253"/>
        </w:tc>
        <w:tc>
          <w:tcPr>
            <w:tcW w:w="1530" w:type="dxa"/>
          </w:tcPr>
          <w:p w:rsidR="00BC366B" w:rsidRDefault="00BC366B" w:rsidP="00EB1253"/>
        </w:tc>
        <w:tc>
          <w:tcPr>
            <w:tcW w:w="1620" w:type="dxa"/>
          </w:tcPr>
          <w:p w:rsidR="00BC366B" w:rsidRDefault="00BC366B" w:rsidP="00EB1253"/>
        </w:tc>
      </w:tr>
      <w:tr w:rsidR="00BC366B" w:rsidTr="00EB1253">
        <w:trPr>
          <w:cantSplit/>
        </w:trPr>
        <w:tc>
          <w:tcPr>
            <w:tcW w:w="1818" w:type="dxa"/>
            <w:tcBorders>
              <w:bottom w:val="single" w:sz="12" w:space="0" w:color="auto"/>
            </w:tcBorders>
          </w:tcPr>
          <w:p w:rsidR="00BC366B" w:rsidRDefault="00BC366B" w:rsidP="00EB1253">
            <w:pPr>
              <w:jc w:val="center"/>
            </w:pPr>
          </w:p>
        </w:tc>
        <w:tc>
          <w:tcPr>
            <w:tcW w:w="1800" w:type="dxa"/>
            <w:tcBorders>
              <w:bottom w:val="single" w:sz="12" w:space="0" w:color="auto"/>
            </w:tcBorders>
          </w:tcPr>
          <w:p w:rsidR="00BC366B" w:rsidRDefault="00BC366B" w:rsidP="00EB1253"/>
        </w:tc>
        <w:tc>
          <w:tcPr>
            <w:tcW w:w="1530" w:type="dxa"/>
            <w:tcBorders>
              <w:bottom w:val="single" w:sz="12" w:space="0" w:color="auto"/>
            </w:tcBorders>
          </w:tcPr>
          <w:p w:rsidR="00BC366B" w:rsidRDefault="00BC366B" w:rsidP="00EB1253"/>
        </w:tc>
        <w:tc>
          <w:tcPr>
            <w:tcW w:w="1530" w:type="dxa"/>
            <w:tcBorders>
              <w:bottom w:val="single" w:sz="12" w:space="0" w:color="auto"/>
            </w:tcBorders>
          </w:tcPr>
          <w:p w:rsidR="00BC366B" w:rsidRDefault="00BC366B" w:rsidP="00EB1253"/>
        </w:tc>
        <w:tc>
          <w:tcPr>
            <w:tcW w:w="1620" w:type="dxa"/>
            <w:tcBorders>
              <w:bottom w:val="single" w:sz="12" w:space="0" w:color="auto"/>
            </w:tcBorders>
          </w:tcPr>
          <w:p w:rsidR="00BC366B" w:rsidRDefault="00BC366B" w:rsidP="00EB1253"/>
        </w:tc>
      </w:tr>
    </w:tbl>
    <w:p w:rsidR="00BC366B" w:rsidRDefault="00BC366B" w:rsidP="00BC366B">
      <w:pPr>
        <w:pBdr>
          <w:bottom w:val="single" w:sz="6" w:space="1" w:color="auto"/>
        </w:pBdr>
        <w:rPr>
          <w:sz w:val="20"/>
          <w:szCs w:val="20"/>
        </w:rPr>
      </w:pPr>
    </w:p>
    <w:p w:rsidR="00BC366B" w:rsidRPr="00F622E9" w:rsidRDefault="00BC366B" w:rsidP="00BC366B">
      <w:pPr>
        <w:rPr>
          <w:sz w:val="20"/>
          <w:szCs w:val="20"/>
        </w:rPr>
      </w:pPr>
    </w:p>
    <w:p w:rsidR="00BC366B" w:rsidRDefault="00BC366B" w:rsidP="00BC366B">
      <w:r>
        <w:br w:type="page"/>
        <w:t>Note: Table 5 is required only for The Accounting Review, though other journals have the option of adopting a similar table as appropriate.</w:t>
      </w:r>
    </w:p>
    <w:p w:rsidR="00BC366B" w:rsidRDefault="00BC366B" w:rsidP="00BC366B"/>
    <w:tbl>
      <w:tblPr>
        <w:tblW w:w="0" w:type="auto"/>
        <w:tblLook w:val="0000"/>
      </w:tblPr>
      <w:tblGrid>
        <w:gridCol w:w="1577"/>
        <w:gridCol w:w="1855"/>
        <w:gridCol w:w="1790"/>
        <w:gridCol w:w="1844"/>
        <w:gridCol w:w="1790"/>
      </w:tblGrid>
      <w:tr w:rsidR="00BC366B" w:rsidTr="00EB1253">
        <w:trPr>
          <w:cantSplit/>
        </w:trPr>
        <w:tc>
          <w:tcPr>
            <w:tcW w:w="8856" w:type="dxa"/>
            <w:gridSpan w:val="5"/>
            <w:tcBorders>
              <w:top w:val="single" w:sz="12" w:space="0" w:color="auto"/>
            </w:tcBorders>
          </w:tcPr>
          <w:p w:rsidR="00BC366B" w:rsidRDefault="00BC366B" w:rsidP="00EB1253">
            <w:pPr>
              <w:jc w:val="center"/>
            </w:pPr>
            <w:r>
              <w:t>(INFORMATION NOT GATHERED)</w:t>
            </w:r>
          </w:p>
          <w:p w:rsidR="00BC366B" w:rsidRDefault="00BC366B" w:rsidP="00EB1253">
            <w:pPr>
              <w:jc w:val="center"/>
            </w:pPr>
            <w:r>
              <w:t>TABLE 5</w:t>
            </w:r>
          </w:p>
          <w:p w:rsidR="00BC366B" w:rsidRDefault="00BC366B" w:rsidP="00EB1253">
            <w:pPr>
              <w:jc w:val="center"/>
            </w:pPr>
            <w:r>
              <w:t xml:space="preserve">Submissions and Acceptances by Subject Area and Research Method </w:t>
            </w:r>
          </w:p>
          <w:p w:rsidR="00BC366B" w:rsidRDefault="00BC366B" w:rsidP="00EB1253">
            <w:pPr>
              <w:jc w:val="center"/>
            </w:pPr>
            <w:r>
              <w:t>for (the most recent year)</w:t>
            </w:r>
          </w:p>
        </w:tc>
      </w:tr>
      <w:tr w:rsidR="00BC366B" w:rsidTr="00EB1253">
        <w:trPr>
          <w:cantSplit/>
        </w:trPr>
        <w:tc>
          <w:tcPr>
            <w:tcW w:w="1577" w:type="dxa"/>
            <w:tcBorders>
              <w:bottom w:val="single" w:sz="4" w:space="0" w:color="auto"/>
            </w:tcBorders>
          </w:tcPr>
          <w:p w:rsidR="00BC366B" w:rsidRPr="000C2B26" w:rsidRDefault="00BC366B" w:rsidP="00EB1253">
            <w:pPr>
              <w:jc w:val="center"/>
              <w:rPr>
                <w:bCs/>
                <w:i/>
              </w:rPr>
            </w:pPr>
            <w:r w:rsidRPr="000C2B26">
              <w:rPr>
                <w:bCs/>
                <w:i/>
              </w:rPr>
              <w:t>Subject</w:t>
            </w:r>
          </w:p>
          <w:p w:rsidR="00BC366B" w:rsidRPr="000C2B26" w:rsidRDefault="00BC366B" w:rsidP="00EB1253">
            <w:pPr>
              <w:jc w:val="center"/>
              <w:rPr>
                <w:bCs/>
                <w:i/>
              </w:rPr>
            </w:pPr>
            <w:r w:rsidRPr="000C2B26">
              <w:rPr>
                <w:bCs/>
                <w:i/>
              </w:rPr>
              <w:t>Area</w:t>
            </w:r>
          </w:p>
        </w:tc>
        <w:tc>
          <w:tcPr>
            <w:tcW w:w="1855" w:type="dxa"/>
            <w:tcBorders>
              <w:bottom w:val="single" w:sz="4" w:space="0" w:color="auto"/>
            </w:tcBorders>
          </w:tcPr>
          <w:p w:rsidR="00BC366B" w:rsidRDefault="00BC366B" w:rsidP="00EB1253">
            <w:pPr>
              <w:jc w:val="center"/>
            </w:pPr>
          </w:p>
          <w:p w:rsidR="00BC366B" w:rsidRDefault="00BC366B" w:rsidP="00EB1253">
            <w:pPr>
              <w:jc w:val="center"/>
            </w:pPr>
            <w:r>
              <w:t># Submitted</w:t>
            </w:r>
          </w:p>
        </w:tc>
        <w:tc>
          <w:tcPr>
            <w:tcW w:w="1790" w:type="dxa"/>
            <w:tcBorders>
              <w:bottom w:val="single" w:sz="4" w:space="0" w:color="auto"/>
            </w:tcBorders>
          </w:tcPr>
          <w:p w:rsidR="00BC366B" w:rsidRDefault="00BC366B" w:rsidP="00EB1253">
            <w:pPr>
              <w:jc w:val="center"/>
            </w:pPr>
          </w:p>
          <w:p w:rsidR="00BC366B" w:rsidRDefault="00BC366B" w:rsidP="00EB1253">
            <w:pPr>
              <w:jc w:val="center"/>
            </w:pPr>
            <w:r>
              <w:t>% of Total</w:t>
            </w:r>
          </w:p>
        </w:tc>
        <w:tc>
          <w:tcPr>
            <w:tcW w:w="1844" w:type="dxa"/>
            <w:tcBorders>
              <w:bottom w:val="single" w:sz="4" w:space="0" w:color="auto"/>
            </w:tcBorders>
          </w:tcPr>
          <w:p w:rsidR="00BC366B" w:rsidRDefault="00BC366B" w:rsidP="00EB1253">
            <w:pPr>
              <w:jc w:val="center"/>
            </w:pPr>
          </w:p>
          <w:p w:rsidR="00BC366B" w:rsidRDefault="00BC366B" w:rsidP="00EB1253">
            <w:pPr>
              <w:jc w:val="center"/>
            </w:pPr>
            <w:r>
              <w:t># Accepted</w:t>
            </w:r>
          </w:p>
        </w:tc>
        <w:tc>
          <w:tcPr>
            <w:tcW w:w="1790" w:type="dxa"/>
            <w:tcBorders>
              <w:bottom w:val="single" w:sz="4" w:space="0" w:color="auto"/>
            </w:tcBorders>
          </w:tcPr>
          <w:p w:rsidR="00BC366B" w:rsidRDefault="00BC366B" w:rsidP="00EB1253">
            <w:pPr>
              <w:jc w:val="center"/>
            </w:pPr>
          </w:p>
          <w:p w:rsidR="00BC366B" w:rsidRDefault="00BC366B" w:rsidP="00EB1253">
            <w:pPr>
              <w:jc w:val="center"/>
            </w:pPr>
            <w:r>
              <w:t>% of Total</w:t>
            </w:r>
          </w:p>
        </w:tc>
      </w:tr>
      <w:tr w:rsidR="00BC366B" w:rsidTr="00EB1253">
        <w:trPr>
          <w:cantSplit/>
        </w:trPr>
        <w:tc>
          <w:tcPr>
            <w:tcW w:w="1577" w:type="dxa"/>
            <w:tcBorders>
              <w:top w:val="single" w:sz="4" w:space="0" w:color="auto"/>
            </w:tcBorders>
          </w:tcPr>
          <w:p w:rsidR="00BC366B" w:rsidRDefault="00BC366B" w:rsidP="00EB1253">
            <w:pPr>
              <w:jc w:val="center"/>
            </w:pPr>
            <w:r>
              <w:t xml:space="preserve">Auditing </w:t>
            </w:r>
          </w:p>
        </w:tc>
        <w:tc>
          <w:tcPr>
            <w:tcW w:w="1855" w:type="dxa"/>
            <w:tcBorders>
              <w:top w:val="single" w:sz="4" w:space="0" w:color="auto"/>
            </w:tcBorders>
          </w:tcPr>
          <w:p w:rsidR="00BC366B" w:rsidRDefault="00BC366B" w:rsidP="00EB1253"/>
        </w:tc>
        <w:tc>
          <w:tcPr>
            <w:tcW w:w="1790" w:type="dxa"/>
            <w:tcBorders>
              <w:top w:val="single" w:sz="4" w:space="0" w:color="auto"/>
            </w:tcBorders>
          </w:tcPr>
          <w:p w:rsidR="00BC366B" w:rsidRDefault="00BC366B" w:rsidP="00EB1253"/>
        </w:tc>
        <w:tc>
          <w:tcPr>
            <w:tcW w:w="1844" w:type="dxa"/>
            <w:tcBorders>
              <w:top w:val="single" w:sz="4" w:space="0" w:color="auto"/>
            </w:tcBorders>
          </w:tcPr>
          <w:p w:rsidR="00BC366B" w:rsidRDefault="00BC366B" w:rsidP="00EB1253"/>
        </w:tc>
        <w:tc>
          <w:tcPr>
            <w:tcW w:w="1790" w:type="dxa"/>
            <w:tcBorders>
              <w:top w:val="single" w:sz="4" w:space="0" w:color="auto"/>
            </w:tcBorders>
          </w:tcPr>
          <w:p w:rsidR="00BC366B" w:rsidRDefault="00BC366B" w:rsidP="00EB1253"/>
        </w:tc>
      </w:tr>
      <w:tr w:rsidR="00BC366B" w:rsidTr="00EB1253">
        <w:trPr>
          <w:cantSplit/>
        </w:trPr>
        <w:tc>
          <w:tcPr>
            <w:tcW w:w="1577" w:type="dxa"/>
          </w:tcPr>
          <w:p w:rsidR="00BC366B" w:rsidRDefault="00BC366B" w:rsidP="00EB1253">
            <w:pPr>
              <w:jc w:val="center"/>
            </w:pPr>
            <w:r>
              <w:t>Financial</w:t>
            </w:r>
          </w:p>
        </w:tc>
        <w:tc>
          <w:tcPr>
            <w:tcW w:w="1855" w:type="dxa"/>
          </w:tcPr>
          <w:p w:rsidR="00BC366B" w:rsidRDefault="00BC366B" w:rsidP="00EB1253"/>
        </w:tc>
        <w:tc>
          <w:tcPr>
            <w:tcW w:w="1790" w:type="dxa"/>
          </w:tcPr>
          <w:p w:rsidR="00BC366B" w:rsidRDefault="00BC366B" w:rsidP="00EB1253"/>
        </w:tc>
        <w:tc>
          <w:tcPr>
            <w:tcW w:w="1844" w:type="dxa"/>
          </w:tcPr>
          <w:p w:rsidR="00BC366B" w:rsidRDefault="00BC366B" w:rsidP="00EB1253"/>
        </w:tc>
        <w:tc>
          <w:tcPr>
            <w:tcW w:w="1790" w:type="dxa"/>
          </w:tcPr>
          <w:p w:rsidR="00BC366B" w:rsidRDefault="00BC366B" w:rsidP="00EB1253"/>
        </w:tc>
      </w:tr>
      <w:tr w:rsidR="00BC366B" w:rsidTr="00EB1253">
        <w:trPr>
          <w:cantSplit/>
        </w:trPr>
        <w:tc>
          <w:tcPr>
            <w:tcW w:w="1577" w:type="dxa"/>
          </w:tcPr>
          <w:p w:rsidR="00BC366B" w:rsidRDefault="00BC366B" w:rsidP="00EB1253">
            <w:pPr>
              <w:jc w:val="center"/>
            </w:pPr>
            <w:r>
              <w:t>Managerial</w:t>
            </w:r>
          </w:p>
        </w:tc>
        <w:tc>
          <w:tcPr>
            <w:tcW w:w="1855" w:type="dxa"/>
          </w:tcPr>
          <w:p w:rsidR="00BC366B" w:rsidRDefault="00BC366B" w:rsidP="00EB1253"/>
        </w:tc>
        <w:tc>
          <w:tcPr>
            <w:tcW w:w="1790" w:type="dxa"/>
          </w:tcPr>
          <w:p w:rsidR="00BC366B" w:rsidRDefault="00BC366B" w:rsidP="00EB1253"/>
        </w:tc>
        <w:tc>
          <w:tcPr>
            <w:tcW w:w="1844" w:type="dxa"/>
          </w:tcPr>
          <w:p w:rsidR="00BC366B" w:rsidRDefault="00BC366B" w:rsidP="00EB1253"/>
        </w:tc>
        <w:tc>
          <w:tcPr>
            <w:tcW w:w="1790" w:type="dxa"/>
          </w:tcPr>
          <w:p w:rsidR="00BC366B" w:rsidRDefault="00BC366B" w:rsidP="00EB1253"/>
        </w:tc>
      </w:tr>
      <w:tr w:rsidR="00BC366B" w:rsidTr="00EB1253">
        <w:trPr>
          <w:cantSplit/>
        </w:trPr>
        <w:tc>
          <w:tcPr>
            <w:tcW w:w="1577" w:type="dxa"/>
          </w:tcPr>
          <w:p w:rsidR="00BC366B" w:rsidRDefault="00BC366B" w:rsidP="00EB1253">
            <w:pPr>
              <w:jc w:val="center"/>
            </w:pPr>
            <w:r>
              <w:t>Government</w:t>
            </w:r>
          </w:p>
        </w:tc>
        <w:tc>
          <w:tcPr>
            <w:tcW w:w="1855" w:type="dxa"/>
          </w:tcPr>
          <w:p w:rsidR="00BC366B" w:rsidRDefault="00BC366B" w:rsidP="00EB1253"/>
        </w:tc>
        <w:tc>
          <w:tcPr>
            <w:tcW w:w="1790" w:type="dxa"/>
          </w:tcPr>
          <w:p w:rsidR="00BC366B" w:rsidRDefault="00BC366B" w:rsidP="00EB1253"/>
        </w:tc>
        <w:tc>
          <w:tcPr>
            <w:tcW w:w="1844" w:type="dxa"/>
          </w:tcPr>
          <w:p w:rsidR="00BC366B" w:rsidRDefault="00BC366B" w:rsidP="00EB1253"/>
        </w:tc>
        <w:tc>
          <w:tcPr>
            <w:tcW w:w="1790" w:type="dxa"/>
          </w:tcPr>
          <w:p w:rsidR="00BC366B" w:rsidRDefault="00BC366B" w:rsidP="00EB1253"/>
        </w:tc>
      </w:tr>
      <w:tr w:rsidR="00BC366B" w:rsidTr="00EB1253">
        <w:trPr>
          <w:cantSplit/>
        </w:trPr>
        <w:tc>
          <w:tcPr>
            <w:tcW w:w="1577" w:type="dxa"/>
          </w:tcPr>
          <w:p w:rsidR="00BC366B" w:rsidRDefault="00BC366B" w:rsidP="00EB1253">
            <w:pPr>
              <w:jc w:val="center"/>
            </w:pPr>
            <w:r>
              <w:t>International</w:t>
            </w:r>
          </w:p>
        </w:tc>
        <w:tc>
          <w:tcPr>
            <w:tcW w:w="1855" w:type="dxa"/>
          </w:tcPr>
          <w:p w:rsidR="00BC366B" w:rsidRDefault="00BC366B" w:rsidP="00EB1253"/>
        </w:tc>
        <w:tc>
          <w:tcPr>
            <w:tcW w:w="1790" w:type="dxa"/>
          </w:tcPr>
          <w:p w:rsidR="00BC366B" w:rsidRDefault="00BC366B" w:rsidP="00EB1253"/>
        </w:tc>
        <w:tc>
          <w:tcPr>
            <w:tcW w:w="1844" w:type="dxa"/>
          </w:tcPr>
          <w:p w:rsidR="00BC366B" w:rsidRDefault="00BC366B" w:rsidP="00EB1253"/>
        </w:tc>
        <w:tc>
          <w:tcPr>
            <w:tcW w:w="1790" w:type="dxa"/>
          </w:tcPr>
          <w:p w:rsidR="00BC366B" w:rsidRDefault="00BC366B" w:rsidP="00EB1253"/>
        </w:tc>
      </w:tr>
      <w:tr w:rsidR="00BC366B" w:rsidTr="00EB1253">
        <w:trPr>
          <w:cantSplit/>
        </w:trPr>
        <w:tc>
          <w:tcPr>
            <w:tcW w:w="1577" w:type="dxa"/>
          </w:tcPr>
          <w:p w:rsidR="00BC366B" w:rsidRDefault="00BC366B" w:rsidP="00EB1253">
            <w:pPr>
              <w:jc w:val="center"/>
            </w:pPr>
            <w:r>
              <w:t>Not-for-Profit</w:t>
            </w:r>
          </w:p>
        </w:tc>
        <w:tc>
          <w:tcPr>
            <w:tcW w:w="1855" w:type="dxa"/>
          </w:tcPr>
          <w:p w:rsidR="00BC366B" w:rsidRDefault="00BC366B" w:rsidP="00EB1253"/>
        </w:tc>
        <w:tc>
          <w:tcPr>
            <w:tcW w:w="1790" w:type="dxa"/>
          </w:tcPr>
          <w:p w:rsidR="00BC366B" w:rsidRDefault="00BC366B" w:rsidP="00EB1253"/>
        </w:tc>
        <w:tc>
          <w:tcPr>
            <w:tcW w:w="1844" w:type="dxa"/>
          </w:tcPr>
          <w:p w:rsidR="00BC366B" w:rsidRDefault="00BC366B" w:rsidP="00EB1253"/>
        </w:tc>
        <w:tc>
          <w:tcPr>
            <w:tcW w:w="1790" w:type="dxa"/>
          </w:tcPr>
          <w:p w:rsidR="00BC366B" w:rsidRDefault="00BC366B" w:rsidP="00EB1253"/>
        </w:tc>
      </w:tr>
      <w:tr w:rsidR="00BC366B" w:rsidTr="00EB1253">
        <w:trPr>
          <w:cantSplit/>
        </w:trPr>
        <w:tc>
          <w:tcPr>
            <w:tcW w:w="1577" w:type="dxa"/>
          </w:tcPr>
          <w:p w:rsidR="00BC366B" w:rsidRDefault="00BC366B" w:rsidP="00EB1253">
            <w:pPr>
              <w:jc w:val="center"/>
            </w:pPr>
            <w:r>
              <w:t>Systems</w:t>
            </w:r>
          </w:p>
        </w:tc>
        <w:tc>
          <w:tcPr>
            <w:tcW w:w="1855" w:type="dxa"/>
          </w:tcPr>
          <w:p w:rsidR="00BC366B" w:rsidRDefault="00BC366B" w:rsidP="00EB1253"/>
        </w:tc>
        <w:tc>
          <w:tcPr>
            <w:tcW w:w="1790" w:type="dxa"/>
          </w:tcPr>
          <w:p w:rsidR="00BC366B" w:rsidRDefault="00BC366B" w:rsidP="00EB1253"/>
        </w:tc>
        <w:tc>
          <w:tcPr>
            <w:tcW w:w="1844" w:type="dxa"/>
          </w:tcPr>
          <w:p w:rsidR="00BC366B" w:rsidRDefault="00BC366B" w:rsidP="00EB1253"/>
        </w:tc>
        <w:tc>
          <w:tcPr>
            <w:tcW w:w="1790" w:type="dxa"/>
          </w:tcPr>
          <w:p w:rsidR="00BC366B" w:rsidRDefault="00BC366B" w:rsidP="00EB1253"/>
        </w:tc>
      </w:tr>
      <w:tr w:rsidR="00BC366B" w:rsidTr="00EB1253">
        <w:trPr>
          <w:cantSplit/>
        </w:trPr>
        <w:tc>
          <w:tcPr>
            <w:tcW w:w="1577" w:type="dxa"/>
          </w:tcPr>
          <w:p w:rsidR="00BC366B" w:rsidRDefault="00BC366B" w:rsidP="00EB1253">
            <w:pPr>
              <w:jc w:val="center"/>
            </w:pPr>
            <w:r>
              <w:t>Taxation</w:t>
            </w:r>
          </w:p>
        </w:tc>
        <w:tc>
          <w:tcPr>
            <w:tcW w:w="1855" w:type="dxa"/>
          </w:tcPr>
          <w:p w:rsidR="00BC366B" w:rsidRDefault="00BC366B" w:rsidP="00EB1253"/>
        </w:tc>
        <w:tc>
          <w:tcPr>
            <w:tcW w:w="1790" w:type="dxa"/>
          </w:tcPr>
          <w:p w:rsidR="00BC366B" w:rsidRDefault="00BC366B" w:rsidP="00EB1253"/>
        </w:tc>
        <w:tc>
          <w:tcPr>
            <w:tcW w:w="1844" w:type="dxa"/>
          </w:tcPr>
          <w:p w:rsidR="00BC366B" w:rsidRDefault="00BC366B" w:rsidP="00EB1253"/>
        </w:tc>
        <w:tc>
          <w:tcPr>
            <w:tcW w:w="1790" w:type="dxa"/>
          </w:tcPr>
          <w:p w:rsidR="00BC366B" w:rsidRDefault="00BC366B" w:rsidP="00EB1253"/>
        </w:tc>
      </w:tr>
      <w:tr w:rsidR="00BC366B" w:rsidTr="00EB1253">
        <w:trPr>
          <w:cantSplit/>
        </w:trPr>
        <w:tc>
          <w:tcPr>
            <w:tcW w:w="1577" w:type="dxa"/>
          </w:tcPr>
          <w:p w:rsidR="00BC366B" w:rsidRDefault="00BC366B" w:rsidP="00EB1253">
            <w:pPr>
              <w:jc w:val="center"/>
            </w:pPr>
            <w:r>
              <w:t>Other</w:t>
            </w:r>
          </w:p>
        </w:tc>
        <w:tc>
          <w:tcPr>
            <w:tcW w:w="1855" w:type="dxa"/>
          </w:tcPr>
          <w:p w:rsidR="00BC366B" w:rsidRDefault="00BC366B" w:rsidP="00EB1253"/>
        </w:tc>
        <w:tc>
          <w:tcPr>
            <w:tcW w:w="1790" w:type="dxa"/>
          </w:tcPr>
          <w:p w:rsidR="00BC366B" w:rsidRDefault="00BC366B" w:rsidP="00EB1253"/>
        </w:tc>
        <w:tc>
          <w:tcPr>
            <w:tcW w:w="1844" w:type="dxa"/>
          </w:tcPr>
          <w:p w:rsidR="00BC366B" w:rsidRDefault="00BC366B" w:rsidP="00EB1253"/>
        </w:tc>
        <w:tc>
          <w:tcPr>
            <w:tcW w:w="1790" w:type="dxa"/>
          </w:tcPr>
          <w:p w:rsidR="00BC366B" w:rsidRDefault="00BC366B" w:rsidP="00EB1253"/>
        </w:tc>
      </w:tr>
      <w:tr w:rsidR="00BC366B" w:rsidTr="00EB1253">
        <w:trPr>
          <w:cantSplit/>
        </w:trPr>
        <w:tc>
          <w:tcPr>
            <w:tcW w:w="1577" w:type="dxa"/>
          </w:tcPr>
          <w:p w:rsidR="00BC366B" w:rsidRDefault="00BC366B" w:rsidP="00EB1253">
            <w:pPr>
              <w:jc w:val="center"/>
            </w:pPr>
          </w:p>
        </w:tc>
        <w:tc>
          <w:tcPr>
            <w:tcW w:w="1855" w:type="dxa"/>
          </w:tcPr>
          <w:p w:rsidR="00BC366B" w:rsidRDefault="00BC366B" w:rsidP="00EB1253"/>
        </w:tc>
        <w:tc>
          <w:tcPr>
            <w:tcW w:w="1790" w:type="dxa"/>
          </w:tcPr>
          <w:p w:rsidR="00BC366B" w:rsidRDefault="00BC366B" w:rsidP="00EB1253"/>
        </w:tc>
        <w:tc>
          <w:tcPr>
            <w:tcW w:w="1844" w:type="dxa"/>
          </w:tcPr>
          <w:p w:rsidR="00BC366B" w:rsidRDefault="00BC366B" w:rsidP="00EB1253"/>
        </w:tc>
        <w:tc>
          <w:tcPr>
            <w:tcW w:w="1790" w:type="dxa"/>
          </w:tcPr>
          <w:p w:rsidR="00BC366B" w:rsidRDefault="00BC366B" w:rsidP="00EB1253"/>
        </w:tc>
      </w:tr>
      <w:tr w:rsidR="00BC366B" w:rsidTr="00EB1253">
        <w:trPr>
          <w:cantSplit/>
        </w:trPr>
        <w:tc>
          <w:tcPr>
            <w:tcW w:w="1577" w:type="dxa"/>
          </w:tcPr>
          <w:p w:rsidR="00BC366B" w:rsidRDefault="00BC366B" w:rsidP="00EB1253">
            <w:pPr>
              <w:jc w:val="center"/>
            </w:pPr>
            <w:r>
              <w:t>Total</w:t>
            </w:r>
          </w:p>
        </w:tc>
        <w:tc>
          <w:tcPr>
            <w:tcW w:w="1855" w:type="dxa"/>
          </w:tcPr>
          <w:p w:rsidR="00BC366B" w:rsidRDefault="00BC366B" w:rsidP="00EB1253"/>
        </w:tc>
        <w:tc>
          <w:tcPr>
            <w:tcW w:w="1790" w:type="dxa"/>
          </w:tcPr>
          <w:p w:rsidR="00BC366B" w:rsidRDefault="00BC366B" w:rsidP="00EB1253"/>
        </w:tc>
        <w:tc>
          <w:tcPr>
            <w:tcW w:w="1844" w:type="dxa"/>
          </w:tcPr>
          <w:p w:rsidR="00BC366B" w:rsidRDefault="00BC366B" w:rsidP="00EB1253"/>
        </w:tc>
        <w:tc>
          <w:tcPr>
            <w:tcW w:w="1790" w:type="dxa"/>
          </w:tcPr>
          <w:p w:rsidR="00BC366B" w:rsidRDefault="00BC366B" w:rsidP="00EB1253"/>
        </w:tc>
      </w:tr>
      <w:tr w:rsidR="00BC366B" w:rsidTr="00EB1253">
        <w:trPr>
          <w:cantSplit/>
        </w:trPr>
        <w:tc>
          <w:tcPr>
            <w:tcW w:w="1577" w:type="dxa"/>
            <w:tcBorders>
              <w:bottom w:val="single" w:sz="6" w:space="0" w:color="auto"/>
            </w:tcBorders>
          </w:tcPr>
          <w:p w:rsidR="00BC366B" w:rsidRDefault="00BC366B" w:rsidP="00EB1253">
            <w:pPr>
              <w:jc w:val="center"/>
              <w:rPr>
                <w:b/>
                <w:bCs/>
              </w:rPr>
            </w:pPr>
          </w:p>
          <w:p w:rsidR="00BC366B" w:rsidRPr="000C2B26" w:rsidRDefault="00BC366B" w:rsidP="00EB1253">
            <w:pPr>
              <w:jc w:val="center"/>
              <w:rPr>
                <w:bCs/>
                <w:i/>
              </w:rPr>
            </w:pPr>
            <w:r w:rsidRPr="000C2B26">
              <w:rPr>
                <w:bCs/>
                <w:i/>
              </w:rPr>
              <w:t>Research Method</w:t>
            </w:r>
          </w:p>
        </w:tc>
        <w:tc>
          <w:tcPr>
            <w:tcW w:w="1855" w:type="dxa"/>
          </w:tcPr>
          <w:p w:rsidR="00BC366B" w:rsidRDefault="00BC366B" w:rsidP="00EB1253">
            <w:pPr>
              <w:jc w:val="center"/>
            </w:pPr>
          </w:p>
          <w:p w:rsidR="00BC366B" w:rsidRDefault="00BC366B" w:rsidP="00EB1253">
            <w:pPr>
              <w:jc w:val="center"/>
            </w:pPr>
          </w:p>
          <w:p w:rsidR="00BC366B" w:rsidRDefault="00BC366B" w:rsidP="00EB1253">
            <w:pPr>
              <w:jc w:val="center"/>
            </w:pPr>
            <w:r>
              <w:t># Submitted</w:t>
            </w:r>
          </w:p>
        </w:tc>
        <w:tc>
          <w:tcPr>
            <w:tcW w:w="1790" w:type="dxa"/>
          </w:tcPr>
          <w:p w:rsidR="00BC366B" w:rsidRDefault="00BC366B" w:rsidP="00EB1253">
            <w:pPr>
              <w:jc w:val="center"/>
            </w:pPr>
          </w:p>
          <w:p w:rsidR="00BC366B" w:rsidRDefault="00BC366B" w:rsidP="00EB1253">
            <w:pPr>
              <w:jc w:val="center"/>
            </w:pPr>
          </w:p>
          <w:p w:rsidR="00BC366B" w:rsidRDefault="00BC366B" w:rsidP="00EB1253">
            <w:pPr>
              <w:jc w:val="center"/>
            </w:pPr>
            <w:r>
              <w:t>% of Total</w:t>
            </w:r>
          </w:p>
        </w:tc>
        <w:tc>
          <w:tcPr>
            <w:tcW w:w="1844" w:type="dxa"/>
          </w:tcPr>
          <w:p w:rsidR="00BC366B" w:rsidRDefault="00BC366B" w:rsidP="00EB1253">
            <w:pPr>
              <w:jc w:val="center"/>
            </w:pPr>
          </w:p>
          <w:p w:rsidR="00BC366B" w:rsidRDefault="00BC366B" w:rsidP="00EB1253">
            <w:pPr>
              <w:jc w:val="center"/>
            </w:pPr>
          </w:p>
          <w:p w:rsidR="00BC366B" w:rsidRDefault="00BC366B" w:rsidP="00EB1253">
            <w:pPr>
              <w:jc w:val="center"/>
            </w:pPr>
            <w:r>
              <w:t># Accepted</w:t>
            </w:r>
          </w:p>
        </w:tc>
        <w:tc>
          <w:tcPr>
            <w:tcW w:w="1790" w:type="dxa"/>
          </w:tcPr>
          <w:p w:rsidR="00BC366B" w:rsidRDefault="00BC366B" w:rsidP="00EB1253">
            <w:pPr>
              <w:jc w:val="center"/>
            </w:pPr>
          </w:p>
          <w:p w:rsidR="00BC366B" w:rsidRDefault="00BC366B" w:rsidP="00EB1253">
            <w:pPr>
              <w:jc w:val="center"/>
            </w:pPr>
          </w:p>
          <w:p w:rsidR="00BC366B" w:rsidRDefault="00BC366B" w:rsidP="00EB1253">
            <w:pPr>
              <w:jc w:val="center"/>
            </w:pPr>
            <w:r>
              <w:t>% of Total</w:t>
            </w:r>
          </w:p>
        </w:tc>
      </w:tr>
      <w:tr w:rsidR="00BC366B" w:rsidTr="00EB1253">
        <w:trPr>
          <w:cantSplit/>
        </w:trPr>
        <w:tc>
          <w:tcPr>
            <w:tcW w:w="1577" w:type="dxa"/>
            <w:tcBorders>
              <w:top w:val="single" w:sz="6" w:space="0" w:color="auto"/>
            </w:tcBorders>
          </w:tcPr>
          <w:p w:rsidR="00BC366B" w:rsidRDefault="00BC366B" w:rsidP="00EB1253">
            <w:pPr>
              <w:jc w:val="center"/>
            </w:pPr>
            <w:r>
              <w:t>Analytical</w:t>
            </w:r>
          </w:p>
        </w:tc>
        <w:tc>
          <w:tcPr>
            <w:tcW w:w="1855" w:type="dxa"/>
          </w:tcPr>
          <w:p w:rsidR="00BC366B" w:rsidRDefault="00BC366B" w:rsidP="00EB1253">
            <w:pPr>
              <w:jc w:val="center"/>
            </w:pPr>
          </w:p>
        </w:tc>
        <w:tc>
          <w:tcPr>
            <w:tcW w:w="1790" w:type="dxa"/>
          </w:tcPr>
          <w:p w:rsidR="00BC366B" w:rsidRDefault="00BC366B" w:rsidP="00EB1253">
            <w:pPr>
              <w:jc w:val="center"/>
            </w:pPr>
          </w:p>
        </w:tc>
        <w:tc>
          <w:tcPr>
            <w:tcW w:w="1844" w:type="dxa"/>
          </w:tcPr>
          <w:p w:rsidR="00BC366B" w:rsidRDefault="00BC366B" w:rsidP="00EB1253">
            <w:pPr>
              <w:jc w:val="center"/>
            </w:pPr>
          </w:p>
        </w:tc>
        <w:tc>
          <w:tcPr>
            <w:tcW w:w="1790" w:type="dxa"/>
          </w:tcPr>
          <w:p w:rsidR="00BC366B" w:rsidRDefault="00BC366B" w:rsidP="00EB1253">
            <w:pPr>
              <w:jc w:val="center"/>
            </w:pPr>
          </w:p>
        </w:tc>
      </w:tr>
      <w:tr w:rsidR="00BC366B" w:rsidTr="00EB1253">
        <w:trPr>
          <w:cantSplit/>
        </w:trPr>
        <w:tc>
          <w:tcPr>
            <w:tcW w:w="1577" w:type="dxa"/>
          </w:tcPr>
          <w:p w:rsidR="00BC366B" w:rsidRDefault="00BC366B" w:rsidP="00EB1253">
            <w:pPr>
              <w:jc w:val="center"/>
            </w:pPr>
            <w:r>
              <w:t>Archival</w:t>
            </w:r>
          </w:p>
        </w:tc>
        <w:tc>
          <w:tcPr>
            <w:tcW w:w="1855" w:type="dxa"/>
          </w:tcPr>
          <w:p w:rsidR="00BC366B" w:rsidRDefault="00BC366B" w:rsidP="00EB1253">
            <w:pPr>
              <w:jc w:val="center"/>
            </w:pPr>
          </w:p>
        </w:tc>
        <w:tc>
          <w:tcPr>
            <w:tcW w:w="1790" w:type="dxa"/>
          </w:tcPr>
          <w:p w:rsidR="00BC366B" w:rsidRDefault="00BC366B" w:rsidP="00EB1253">
            <w:pPr>
              <w:jc w:val="center"/>
            </w:pPr>
          </w:p>
        </w:tc>
        <w:tc>
          <w:tcPr>
            <w:tcW w:w="1844" w:type="dxa"/>
          </w:tcPr>
          <w:p w:rsidR="00BC366B" w:rsidRDefault="00BC366B" w:rsidP="00EB1253">
            <w:pPr>
              <w:jc w:val="center"/>
            </w:pPr>
          </w:p>
        </w:tc>
        <w:tc>
          <w:tcPr>
            <w:tcW w:w="1790" w:type="dxa"/>
          </w:tcPr>
          <w:p w:rsidR="00BC366B" w:rsidRDefault="00BC366B" w:rsidP="00EB1253">
            <w:pPr>
              <w:jc w:val="center"/>
            </w:pPr>
          </w:p>
        </w:tc>
      </w:tr>
      <w:tr w:rsidR="00BC366B" w:rsidTr="00EB1253">
        <w:trPr>
          <w:cantSplit/>
        </w:trPr>
        <w:tc>
          <w:tcPr>
            <w:tcW w:w="1577" w:type="dxa"/>
          </w:tcPr>
          <w:p w:rsidR="00BC366B" w:rsidRDefault="00BC366B" w:rsidP="00EB1253">
            <w:pPr>
              <w:jc w:val="center"/>
            </w:pPr>
            <w:r>
              <w:t>Experimental</w:t>
            </w:r>
          </w:p>
        </w:tc>
        <w:tc>
          <w:tcPr>
            <w:tcW w:w="1855" w:type="dxa"/>
          </w:tcPr>
          <w:p w:rsidR="00BC366B" w:rsidRDefault="00BC366B" w:rsidP="00EB1253">
            <w:pPr>
              <w:jc w:val="center"/>
            </w:pPr>
          </w:p>
        </w:tc>
        <w:tc>
          <w:tcPr>
            <w:tcW w:w="1790" w:type="dxa"/>
          </w:tcPr>
          <w:p w:rsidR="00BC366B" w:rsidRDefault="00BC366B" w:rsidP="00EB1253">
            <w:pPr>
              <w:jc w:val="center"/>
            </w:pPr>
          </w:p>
        </w:tc>
        <w:tc>
          <w:tcPr>
            <w:tcW w:w="1844" w:type="dxa"/>
          </w:tcPr>
          <w:p w:rsidR="00BC366B" w:rsidRDefault="00BC366B" w:rsidP="00EB1253">
            <w:pPr>
              <w:jc w:val="center"/>
            </w:pPr>
          </w:p>
        </w:tc>
        <w:tc>
          <w:tcPr>
            <w:tcW w:w="1790" w:type="dxa"/>
          </w:tcPr>
          <w:p w:rsidR="00BC366B" w:rsidRDefault="00BC366B" w:rsidP="00EB1253">
            <w:pPr>
              <w:jc w:val="center"/>
            </w:pPr>
          </w:p>
        </w:tc>
      </w:tr>
      <w:tr w:rsidR="00BC366B" w:rsidTr="00EB1253">
        <w:trPr>
          <w:cantSplit/>
        </w:trPr>
        <w:tc>
          <w:tcPr>
            <w:tcW w:w="1577" w:type="dxa"/>
          </w:tcPr>
          <w:p w:rsidR="00BC366B" w:rsidRDefault="00BC366B" w:rsidP="00EB1253">
            <w:pPr>
              <w:jc w:val="center"/>
            </w:pPr>
            <w:r>
              <w:t>Field study/Case</w:t>
            </w:r>
          </w:p>
        </w:tc>
        <w:tc>
          <w:tcPr>
            <w:tcW w:w="1855" w:type="dxa"/>
          </w:tcPr>
          <w:p w:rsidR="00BC366B" w:rsidRDefault="00BC366B" w:rsidP="00EB1253">
            <w:pPr>
              <w:jc w:val="center"/>
            </w:pPr>
          </w:p>
        </w:tc>
        <w:tc>
          <w:tcPr>
            <w:tcW w:w="1790" w:type="dxa"/>
          </w:tcPr>
          <w:p w:rsidR="00BC366B" w:rsidRDefault="00BC366B" w:rsidP="00EB1253">
            <w:pPr>
              <w:jc w:val="center"/>
            </w:pPr>
          </w:p>
        </w:tc>
        <w:tc>
          <w:tcPr>
            <w:tcW w:w="1844" w:type="dxa"/>
          </w:tcPr>
          <w:p w:rsidR="00BC366B" w:rsidRDefault="00BC366B" w:rsidP="00EB1253">
            <w:pPr>
              <w:jc w:val="center"/>
            </w:pPr>
          </w:p>
        </w:tc>
        <w:tc>
          <w:tcPr>
            <w:tcW w:w="1790" w:type="dxa"/>
          </w:tcPr>
          <w:p w:rsidR="00BC366B" w:rsidRDefault="00BC366B" w:rsidP="00EB1253">
            <w:pPr>
              <w:jc w:val="center"/>
            </w:pPr>
          </w:p>
        </w:tc>
      </w:tr>
      <w:tr w:rsidR="00BC366B" w:rsidTr="00EB1253">
        <w:trPr>
          <w:cantSplit/>
        </w:trPr>
        <w:tc>
          <w:tcPr>
            <w:tcW w:w="1577" w:type="dxa"/>
          </w:tcPr>
          <w:p w:rsidR="00BC366B" w:rsidRDefault="00BC366B" w:rsidP="00EB1253">
            <w:pPr>
              <w:jc w:val="center"/>
            </w:pPr>
            <w:r>
              <w:t>Survey</w:t>
            </w:r>
          </w:p>
        </w:tc>
        <w:tc>
          <w:tcPr>
            <w:tcW w:w="1855" w:type="dxa"/>
          </w:tcPr>
          <w:p w:rsidR="00BC366B" w:rsidRDefault="00BC366B" w:rsidP="00EB1253">
            <w:pPr>
              <w:jc w:val="center"/>
            </w:pPr>
          </w:p>
        </w:tc>
        <w:tc>
          <w:tcPr>
            <w:tcW w:w="1790" w:type="dxa"/>
          </w:tcPr>
          <w:p w:rsidR="00BC366B" w:rsidRDefault="00BC366B" w:rsidP="00EB1253">
            <w:pPr>
              <w:jc w:val="center"/>
            </w:pPr>
          </w:p>
        </w:tc>
        <w:tc>
          <w:tcPr>
            <w:tcW w:w="1844" w:type="dxa"/>
          </w:tcPr>
          <w:p w:rsidR="00BC366B" w:rsidRDefault="00BC366B" w:rsidP="00EB1253">
            <w:pPr>
              <w:jc w:val="center"/>
            </w:pPr>
          </w:p>
        </w:tc>
        <w:tc>
          <w:tcPr>
            <w:tcW w:w="1790" w:type="dxa"/>
          </w:tcPr>
          <w:p w:rsidR="00BC366B" w:rsidRDefault="00BC366B" w:rsidP="00EB1253">
            <w:pPr>
              <w:jc w:val="center"/>
            </w:pPr>
          </w:p>
        </w:tc>
      </w:tr>
      <w:tr w:rsidR="00BC366B" w:rsidTr="00EB1253">
        <w:trPr>
          <w:cantSplit/>
        </w:trPr>
        <w:tc>
          <w:tcPr>
            <w:tcW w:w="1577" w:type="dxa"/>
          </w:tcPr>
          <w:p w:rsidR="00BC366B" w:rsidRDefault="00BC366B" w:rsidP="00EB1253">
            <w:pPr>
              <w:jc w:val="center"/>
            </w:pPr>
            <w:r>
              <w:t>Other</w:t>
            </w:r>
          </w:p>
        </w:tc>
        <w:tc>
          <w:tcPr>
            <w:tcW w:w="1855" w:type="dxa"/>
          </w:tcPr>
          <w:p w:rsidR="00BC366B" w:rsidRDefault="00BC366B" w:rsidP="00EB1253">
            <w:pPr>
              <w:jc w:val="center"/>
            </w:pPr>
          </w:p>
        </w:tc>
        <w:tc>
          <w:tcPr>
            <w:tcW w:w="1790" w:type="dxa"/>
          </w:tcPr>
          <w:p w:rsidR="00BC366B" w:rsidRDefault="00BC366B" w:rsidP="00EB1253">
            <w:pPr>
              <w:jc w:val="center"/>
            </w:pPr>
          </w:p>
        </w:tc>
        <w:tc>
          <w:tcPr>
            <w:tcW w:w="1844" w:type="dxa"/>
          </w:tcPr>
          <w:p w:rsidR="00BC366B" w:rsidRDefault="00BC366B" w:rsidP="00EB1253">
            <w:pPr>
              <w:jc w:val="center"/>
            </w:pPr>
          </w:p>
        </w:tc>
        <w:tc>
          <w:tcPr>
            <w:tcW w:w="1790" w:type="dxa"/>
          </w:tcPr>
          <w:p w:rsidR="00BC366B" w:rsidRDefault="00BC366B" w:rsidP="00EB1253">
            <w:pPr>
              <w:jc w:val="center"/>
            </w:pPr>
          </w:p>
        </w:tc>
      </w:tr>
      <w:tr w:rsidR="00BC366B" w:rsidTr="00EB1253">
        <w:trPr>
          <w:cantSplit/>
        </w:trPr>
        <w:tc>
          <w:tcPr>
            <w:tcW w:w="1577" w:type="dxa"/>
            <w:tcBorders>
              <w:bottom w:val="single" w:sz="12" w:space="0" w:color="auto"/>
            </w:tcBorders>
          </w:tcPr>
          <w:p w:rsidR="00BC366B" w:rsidRDefault="00BC366B" w:rsidP="00EB1253">
            <w:pPr>
              <w:jc w:val="center"/>
            </w:pPr>
            <w:r>
              <w:t>Total</w:t>
            </w:r>
          </w:p>
        </w:tc>
        <w:tc>
          <w:tcPr>
            <w:tcW w:w="1855" w:type="dxa"/>
            <w:tcBorders>
              <w:bottom w:val="single" w:sz="12" w:space="0" w:color="auto"/>
            </w:tcBorders>
          </w:tcPr>
          <w:p w:rsidR="00BC366B" w:rsidRDefault="00BC366B" w:rsidP="00EB1253">
            <w:pPr>
              <w:jc w:val="center"/>
            </w:pPr>
          </w:p>
        </w:tc>
        <w:tc>
          <w:tcPr>
            <w:tcW w:w="1790" w:type="dxa"/>
            <w:tcBorders>
              <w:bottom w:val="single" w:sz="12" w:space="0" w:color="auto"/>
            </w:tcBorders>
          </w:tcPr>
          <w:p w:rsidR="00BC366B" w:rsidRDefault="00BC366B" w:rsidP="00EB1253">
            <w:pPr>
              <w:jc w:val="center"/>
            </w:pPr>
          </w:p>
        </w:tc>
        <w:tc>
          <w:tcPr>
            <w:tcW w:w="1844" w:type="dxa"/>
            <w:tcBorders>
              <w:bottom w:val="single" w:sz="12" w:space="0" w:color="auto"/>
            </w:tcBorders>
          </w:tcPr>
          <w:p w:rsidR="00BC366B" w:rsidRDefault="00BC366B" w:rsidP="00EB1253">
            <w:pPr>
              <w:jc w:val="center"/>
            </w:pPr>
          </w:p>
        </w:tc>
        <w:tc>
          <w:tcPr>
            <w:tcW w:w="1790" w:type="dxa"/>
            <w:tcBorders>
              <w:bottom w:val="single" w:sz="12" w:space="0" w:color="auto"/>
            </w:tcBorders>
          </w:tcPr>
          <w:p w:rsidR="00BC366B" w:rsidRDefault="00BC366B" w:rsidP="00EB1253">
            <w:pPr>
              <w:jc w:val="center"/>
            </w:pPr>
          </w:p>
        </w:tc>
      </w:tr>
    </w:tbl>
    <w:p w:rsidR="00BC366B" w:rsidRDefault="00BC366B" w:rsidP="00BC366B">
      <w:r>
        <w:t>To minimize the burden on the editor, this data should eventually be collected by having authors self-report their subject area(s) and research method(s).</w:t>
      </w:r>
    </w:p>
    <w:p w:rsidR="00BC366B" w:rsidRDefault="00BC366B" w:rsidP="00BC366B">
      <w:r>
        <w:tab/>
        <w:t xml:space="preserve">The Publications Committee believes that data should be collected for each of the subject areas and methods shown above, but for the sake of brevity results can be combined for some areas or methods in the published report. </w:t>
      </w:r>
    </w:p>
    <w:p w:rsidR="00BC366B" w:rsidRDefault="00BC366B" w:rsidP="00BC366B">
      <w:r>
        <w:tab/>
        <w:t>The editor may also display Table 5 from the previous year as an additional part of this table.</w:t>
      </w:r>
    </w:p>
    <w:p w:rsidR="00BC366B" w:rsidRPr="00F622E9" w:rsidRDefault="00BC366B" w:rsidP="00BC366B">
      <w:pPr>
        <w:rPr>
          <w:sz w:val="20"/>
          <w:szCs w:val="20"/>
        </w:rPr>
      </w:pPr>
      <w:r>
        <w:rPr>
          <w:sz w:val="20"/>
          <w:szCs w:val="20"/>
        </w:rPr>
        <w:t>---------------------------------------------------------------------------------------------------------------------------------</w:t>
      </w:r>
    </w:p>
    <w:p w:rsidR="00BC366B" w:rsidRPr="00822E80" w:rsidRDefault="00BC366B" w:rsidP="00BC366B">
      <w:pPr>
        <w:rPr>
          <w:sz w:val="20"/>
          <w:szCs w:val="20"/>
        </w:rPr>
      </w:pPr>
    </w:p>
    <w:p w:rsidR="00BC366B" w:rsidRPr="00726A4E" w:rsidRDefault="00BC366B" w:rsidP="00BC366B">
      <w:pPr>
        <w:pStyle w:val="ListParagraph"/>
      </w:pPr>
    </w:p>
    <w:p w:rsidR="00056B85" w:rsidRDefault="00056B85" w:rsidP="007850DB">
      <w:pPr>
        <w:spacing w:after="0" w:line="240" w:lineRule="auto"/>
      </w:pPr>
    </w:p>
    <w:p w:rsidR="003C5387" w:rsidRDefault="003C5387" w:rsidP="007850DB">
      <w:pPr>
        <w:spacing w:after="0" w:line="240" w:lineRule="auto"/>
      </w:pPr>
    </w:p>
    <w:p w:rsidR="003C5387" w:rsidRPr="00B701DA" w:rsidRDefault="003C5387" w:rsidP="007850DB">
      <w:pPr>
        <w:spacing w:after="0" w:line="240" w:lineRule="auto"/>
      </w:pPr>
    </w:p>
    <w:p w:rsidR="00DB7EE9" w:rsidRDefault="00DB7EE9" w:rsidP="00DB7EE9">
      <w:pPr>
        <w:spacing w:after="0" w:line="240" w:lineRule="auto"/>
      </w:pPr>
    </w:p>
    <w:p w:rsidR="00DB7EE9" w:rsidRDefault="00DB7EE9" w:rsidP="00DB7EE9">
      <w:pPr>
        <w:spacing w:after="0" w:line="240" w:lineRule="auto"/>
      </w:pPr>
    </w:p>
    <w:p w:rsidR="00DB7EE9" w:rsidRDefault="00DB7EE9" w:rsidP="00DB7EE9">
      <w:pPr>
        <w:spacing w:after="0" w:line="240" w:lineRule="auto"/>
      </w:pPr>
    </w:p>
    <w:sectPr w:rsidR="00DB7EE9" w:rsidSect="0065246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2E8" w:rsidRDefault="00D412E8" w:rsidP="003362D4">
      <w:pPr>
        <w:spacing w:after="0" w:line="240" w:lineRule="auto"/>
      </w:pPr>
      <w:r>
        <w:separator/>
      </w:r>
    </w:p>
  </w:endnote>
  <w:endnote w:type="continuationSeparator" w:id="0">
    <w:p w:rsidR="00D412E8" w:rsidRDefault="00D412E8" w:rsidP="003362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2E8" w:rsidRDefault="00D412E8" w:rsidP="003362D4">
      <w:pPr>
        <w:spacing w:after="0" w:line="240" w:lineRule="auto"/>
      </w:pPr>
      <w:r>
        <w:separator/>
      </w:r>
    </w:p>
  </w:footnote>
  <w:footnote w:type="continuationSeparator" w:id="0">
    <w:p w:rsidR="00D412E8" w:rsidRDefault="00D412E8" w:rsidP="003362D4">
      <w:pPr>
        <w:spacing w:after="0" w:line="240" w:lineRule="auto"/>
      </w:pPr>
      <w:r>
        <w:continuationSeparator/>
      </w:r>
    </w:p>
  </w:footnote>
  <w:footnote w:id="1">
    <w:p w:rsidR="00D412E8" w:rsidRDefault="00D412E8" w:rsidP="003362D4">
      <w:pPr>
        <w:spacing w:after="0" w:line="240" w:lineRule="auto"/>
      </w:pPr>
      <w:r>
        <w:rPr>
          <w:rStyle w:val="FootnoteReference"/>
        </w:rPr>
        <w:footnoteRef/>
      </w:r>
      <w:r>
        <w:t xml:space="preserve"> The full text of the report is attached as an appendix to these minutes.  </w:t>
      </w:r>
    </w:p>
  </w:footnote>
  <w:footnote w:id="2">
    <w:p w:rsidR="00D412E8" w:rsidRDefault="00D412E8">
      <w:pPr>
        <w:pStyle w:val="FootnoteText"/>
      </w:pPr>
      <w:r>
        <w:rPr>
          <w:rStyle w:val="FootnoteReference"/>
        </w:rPr>
        <w:footnoteRef/>
      </w:r>
      <w:r>
        <w:t xml:space="preserve"> JETA editor’s report attached in appendix 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47D61"/>
    <w:multiLevelType w:val="hybridMultilevel"/>
    <w:tmpl w:val="863E6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7F1711"/>
    <w:multiLevelType w:val="hybridMultilevel"/>
    <w:tmpl w:val="25E41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DB6465"/>
    <w:multiLevelType w:val="hybridMultilevel"/>
    <w:tmpl w:val="7B063B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413E183A"/>
    <w:multiLevelType w:val="hybridMultilevel"/>
    <w:tmpl w:val="464E79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4E0A71"/>
    <w:multiLevelType w:val="hybridMultilevel"/>
    <w:tmpl w:val="EB828BD2"/>
    <w:lvl w:ilvl="0" w:tplc="4FE447D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EE77F7"/>
    <w:multiLevelType w:val="hybridMultilevel"/>
    <w:tmpl w:val="0FEAC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5FC6C4C"/>
    <w:multiLevelType w:val="hybridMultilevel"/>
    <w:tmpl w:val="C87EFDB8"/>
    <w:lvl w:ilvl="0" w:tplc="D59094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3"/>
  </w:num>
  <w:num w:numId="4">
    <w:abstractNumId w:val="2"/>
  </w:num>
  <w:num w:numId="5">
    <w:abstractNumId w:val="4"/>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footnotePr>
    <w:footnote w:id="-1"/>
    <w:footnote w:id="0"/>
  </w:footnotePr>
  <w:endnotePr>
    <w:endnote w:id="-1"/>
    <w:endnote w:id="0"/>
  </w:endnotePr>
  <w:compat/>
  <w:rsids>
    <w:rsidRoot w:val="002948BE"/>
    <w:rsid w:val="00052EED"/>
    <w:rsid w:val="00056B85"/>
    <w:rsid w:val="00071CB3"/>
    <w:rsid w:val="000B037E"/>
    <w:rsid w:val="00120570"/>
    <w:rsid w:val="00147BEC"/>
    <w:rsid w:val="00171AF5"/>
    <w:rsid w:val="0019020A"/>
    <w:rsid w:val="00200873"/>
    <w:rsid w:val="00216069"/>
    <w:rsid w:val="002171C8"/>
    <w:rsid w:val="00224B94"/>
    <w:rsid w:val="00225B52"/>
    <w:rsid w:val="0024356B"/>
    <w:rsid w:val="002948BE"/>
    <w:rsid w:val="0032409A"/>
    <w:rsid w:val="003362D4"/>
    <w:rsid w:val="003A2C2E"/>
    <w:rsid w:val="003C5387"/>
    <w:rsid w:val="00411B38"/>
    <w:rsid w:val="00444A2D"/>
    <w:rsid w:val="00472F14"/>
    <w:rsid w:val="00484D05"/>
    <w:rsid w:val="004B7169"/>
    <w:rsid w:val="004E7AC5"/>
    <w:rsid w:val="00517370"/>
    <w:rsid w:val="005A1A27"/>
    <w:rsid w:val="005F0034"/>
    <w:rsid w:val="006414F4"/>
    <w:rsid w:val="0065246C"/>
    <w:rsid w:val="006D73B1"/>
    <w:rsid w:val="006E600B"/>
    <w:rsid w:val="00732918"/>
    <w:rsid w:val="0077705B"/>
    <w:rsid w:val="007850DB"/>
    <w:rsid w:val="007C54F5"/>
    <w:rsid w:val="00834B8F"/>
    <w:rsid w:val="008378D8"/>
    <w:rsid w:val="00867770"/>
    <w:rsid w:val="008732D2"/>
    <w:rsid w:val="00874960"/>
    <w:rsid w:val="008942C9"/>
    <w:rsid w:val="008A1B32"/>
    <w:rsid w:val="008B379A"/>
    <w:rsid w:val="008C543B"/>
    <w:rsid w:val="008E386C"/>
    <w:rsid w:val="008E4BE9"/>
    <w:rsid w:val="008E71D5"/>
    <w:rsid w:val="00955183"/>
    <w:rsid w:val="009C6F3D"/>
    <w:rsid w:val="009E1DB1"/>
    <w:rsid w:val="00A34388"/>
    <w:rsid w:val="00A44CBF"/>
    <w:rsid w:val="00A6571D"/>
    <w:rsid w:val="00A67309"/>
    <w:rsid w:val="00AA0DE9"/>
    <w:rsid w:val="00AC3AB0"/>
    <w:rsid w:val="00AF0259"/>
    <w:rsid w:val="00B03EF4"/>
    <w:rsid w:val="00B3196B"/>
    <w:rsid w:val="00B36E8B"/>
    <w:rsid w:val="00B65EAE"/>
    <w:rsid w:val="00B701DA"/>
    <w:rsid w:val="00BC366B"/>
    <w:rsid w:val="00C275E9"/>
    <w:rsid w:val="00CB79EE"/>
    <w:rsid w:val="00CC687B"/>
    <w:rsid w:val="00CD2A74"/>
    <w:rsid w:val="00D22868"/>
    <w:rsid w:val="00D412E8"/>
    <w:rsid w:val="00D54505"/>
    <w:rsid w:val="00D849C2"/>
    <w:rsid w:val="00D8778A"/>
    <w:rsid w:val="00DB7EE9"/>
    <w:rsid w:val="00E23EA0"/>
    <w:rsid w:val="00E3132F"/>
    <w:rsid w:val="00E40F3D"/>
    <w:rsid w:val="00E957EA"/>
    <w:rsid w:val="00E957EB"/>
    <w:rsid w:val="00EB1253"/>
    <w:rsid w:val="00F071D2"/>
    <w:rsid w:val="00F40DDE"/>
    <w:rsid w:val="00F66152"/>
    <w:rsid w:val="00F94A28"/>
    <w:rsid w:val="00FA06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46C"/>
  </w:style>
  <w:style w:type="paragraph" w:styleId="Heading1">
    <w:name w:val="heading 1"/>
    <w:basedOn w:val="Normal"/>
    <w:next w:val="Normal"/>
    <w:link w:val="Heading1Char"/>
    <w:qFormat/>
    <w:rsid w:val="00E40F3D"/>
    <w:pPr>
      <w:keepNext/>
      <w:spacing w:after="0" w:line="240" w:lineRule="auto"/>
      <w:jc w:val="center"/>
      <w:outlineLvl w:val="0"/>
    </w:pPr>
    <w:rPr>
      <w:rFonts w:ascii="Times New Roman" w:eastAsia="Times New Roman" w:hAnsi="Times New Roman" w:cs="Angsana New"/>
      <w:b/>
      <w:bCs/>
      <w:sz w:val="24"/>
      <w:szCs w:val="28"/>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54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362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62D4"/>
    <w:rPr>
      <w:sz w:val="20"/>
      <w:szCs w:val="20"/>
    </w:rPr>
  </w:style>
  <w:style w:type="character" w:styleId="FootnoteReference">
    <w:name w:val="footnote reference"/>
    <w:basedOn w:val="DefaultParagraphFont"/>
    <w:uiPriority w:val="99"/>
    <w:semiHidden/>
    <w:unhideWhenUsed/>
    <w:rsid w:val="003362D4"/>
    <w:rPr>
      <w:vertAlign w:val="superscript"/>
    </w:rPr>
  </w:style>
  <w:style w:type="paragraph" w:styleId="ListParagraph">
    <w:name w:val="List Paragraph"/>
    <w:basedOn w:val="Normal"/>
    <w:uiPriority w:val="34"/>
    <w:qFormat/>
    <w:rsid w:val="00B03EF4"/>
    <w:pPr>
      <w:spacing w:after="0" w:line="240" w:lineRule="auto"/>
      <w:ind w:left="720"/>
      <w:contextualSpacing/>
    </w:pPr>
    <w:rPr>
      <w:rFonts w:ascii="Times New Roman" w:eastAsia="Calibri" w:hAnsi="Times New Roman" w:cs="Times New Roman"/>
      <w:sz w:val="24"/>
    </w:rPr>
  </w:style>
  <w:style w:type="character" w:customStyle="1" w:styleId="Heading1Char">
    <w:name w:val="Heading 1 Char"/>
    <w:basedOn w:val="DefaultParagraphFont"/>
    <w:link w:val="Heading1"/>
    <w:rsid w:val="00E40F3D"/>
    <w:rPr>
      <w:rFonts w:ascii="Times New Roman" w:eastAsia="Times New Roman" w:hAnsi="Times New Roman" w:cs="Angsana New"/>
      <w:b/>
      <w:bCs/>
      <w:sz w:val="24"/>
      <w:szCs w:val="28"/>
      <w:lang w:bidi="th-TH"/>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FC00C20-E6AB-497F-A1ED-CDDDECB3C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4113</Words>
  <Characters>23446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UMass - Amherst</Company>
  <LinksUpToDate>false</LinksUpToDate>
  <CharactersWithSpaces>27504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A</dc:creator>
  <cp:lastModifiedBy>reviewer A</cp:lastModifiedBy>
  <cp:revision>2</cp:revision>
  <dcterms:created xsi:type="dcterms:W3CDTF">2009-12-09T19:35:00Z</dcterms:created>
  <dcterms:modified xsi:type="dcterms:W3CDTF">2009-12-09T19:35:00Z</dcterms:modified>
</cp:coreProperties>
</file>