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C658" w14:textId="2DAF770F" w:rsidR="005E640E" w:rsidRDefault="00632AB4" w:rsidP="005E640E">
      <w:pPr>
        <w:pStyle w:val="NormalWeb"/>
      </w:pPr>
      <w:r w:rsidRPr="00C011C7">
        <w:rPr>
          <w:noProof/>
          <w:sz w:val="28"/>
          <w:szCs w:val="28"/>
        </w:rPr>
        <w:drawing>
          <wp:anchor distT="0" distB="0" distL="114300" distR="114300" simplePos="0" relativeHeight="251660290" behindDoc="1" locked="0" layoutInCell="1" allowOverlap="1" wp14:anchorId="01B9C1F9" wp14:editId="2990815A">
            <wp:simplePos x="0" y="0"/>
            <wp:positionH relativeFrom="margin">
              <wp:posOffset>4649470</wp:posOffset>
            </wp:positionH>
            <wp:positionV relativeFrom="paragraph">
              <wp:posOffset>4445</wp:posOffset>
            </wp:positionV>
            <wp:extent cx="845185" cy="1127125"/>
            <wp:effectExtent l="0" t="0" r="0" b="0"/>
            <wp:wrapTight wrapText="bothSides">
              <wp:wrapPolygon edited="0">
                <wp:start x="0" y="0"/>
                <wp:lineTo x="0" y="21174"/>
                <wp:lineTo x="20935" y="21174"/>
                <wp:lineTo x="20935" y="0"/>
                <wp:lineTo x="0" y="0"/>
              </wp:wrapPolygon>
            </wp:wrapTight>
            <wp:docPr id="3" name="Picture 3" descr="A green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cov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185" cy="1127125"/>
                    </a:xfrm>
                    <a:prstGeom prst="rect">
                      <a:avLst/>
                    </a:prstGeom>
                  </pic:spPr>
                </pic:pic>
              </a:graphicData>
            </a:graphic>
            <wp14:sizeRelH relativeFrom="margin">
              <wp14:pctWidth>0</wp14:pctWidth>
            </wp14:sizeRelH>
            <wp14:sizeRelV relativeFrom="margin">
              <wp14:pctHeight>0</wp14:pctHeight>
            </wp14:sizeRelV>
          </wp:anchor>
        </w:drawing>
      </w:r>
      <w:r w:rsidR="00EC1DD7">
        <w:rPr>
          <w:noProof/>
        </w:rPr>
        <w:drawing>
          <wp:anchor distT="0" distB="0" distL="114300" distR="114300" simplePos="0" relativeHeight="251658241" behindDoc="0" locked="0" layoutInCell="1" allowOverlap="1" wp14:anchorId="18E419D4" wp14:editId="76C4E52C">
            <wp:simplePos x="0" y="0"/>
            <wp:positionH relativeFrom="margin">
              <wp:posOffset>2038350</wp:posOffset>
            </wp:positionH>
            <wp:positionV relativeFrom="paragraph">
              <wp:posOffset>0</wp:posOffset>
            </wp:positionV>
            <wp:extent cx="1851660" cy="752475"/>
            <wp:effectExtent l="0" t="0" r="0" b="9525"/>
            <wp:wrapSquare wrapText="bothSides"/>
            <wp:docPr id="1"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DD7">
        <w:rPr>
          <w:noProof/>
        </w:rPr>
        <w:drawing>
          <wp:anchor distT="0" distB="0" distL="114300" distR="114300" simplePos="0" relativeHeight="251658240" behindDoc="0" locked="0" layoutInCell="1" allowOverlap="1" wp14:anchorId="0B2FC599" wp14:editId="50984475">
            <wp:simplePos x="0" y="0"/>
            <wp:positionH relativeFrom="margin">
              <wp:align>left</wp:align>
            </wp:positionH>
            <wp:positionV relativeFrom="paragraph">
              <wp:posOffset>0</wp:posOffset>
            </wp:positionV>
            <wp:extent cx="1875155" cy="904875"/>
            <wp:effectExtent l="0" t="0" r="0" b="0"/>
            <wp:wrapSquare wrapText="bothSides"/>
            <wp:docPr id="2" name="Picture 1" descr="A logo for a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found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268" cy="9053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39B2A" w14:textId="77777777" w:rsidR="005E640E" w:rsidRDefault="005E640E" w:rsidP="00F424CE">
      <w:pPr>
        <w:jc w:val="center"/>
        <w:rPr>
          <w:rFonts w:ascii="Arial" w:hAnsi="Arial" w:cs="Arial"/>
          <w:b/>
          <w:bCs/>
          <w:sz w:val="28"/>
          <w:szCs w:val="28"/>
        </w:rPr>
      </w:pPr>
    </w:p>
    <w:p w14:paraId="4DDA417D" w14:textId="77777777" w:rsidR="005E640E" w:rsidRDefault="005E640E" w:rsidP="00F424CE">
      <w:pPr>
        <w:jc w:val="center"/>
        <w:rPr>
          <w:rFonts w:ascii="Arial" w:hAnsi="Arial" w:cs="Arial"/>
          <w:b/>
          <w:bCs/>
          <w:sz w:val="28"/>
          <w:szCs w:val="28"/>
        </w:rPr>
      </w:pPr>
    </w:p>
    <w:p w14:paraId="5AAB2857" w14:textId="77777777" w:rsidR="005227F5" w:rsidRDefault="005227F5" w:rsidP="00F424CE">
      <w:pPr>
        <w:jc w:val="center"/>
        <w:rPr>
          <w:rFonts w:ascii="Arial" w:hAnsi="Arial" w:cs="Arial"/>
          <w:b/>
          <w:bCs/>
          <w:sz w:val="28"/>
          <w:szCs w:val="28"/>
        </w:rPr>
      </w:pPr>
    </w:p>
    <w:p w14:paraId="3C55B500" w14:textId="77777777" w:rsidR="00EC1DD7" w:rsidRDefault="00EC1DD7" w:rsidP="00F424CE">
      <w:pPr>
        <w:jc w:val="center"/>
        <w:rPr>
          <w:rFonts w:ascii="Arial" w:hAnsi="Arial" w:cs="Arial"/>
          <w:b/>
          <w:bCs/>
          <w:sz w:val="28"/>
          <w:szCs w:val="28"/>
        </w:rPr>
      </w:pPr>
    </w:p>
    <w:p w14:paraId="12E047A9" w14:textId="679AE525" w:rsidR="00F424CE" w:rsidRPr="003037DC" w:rsidRDefault="00F424CE" w:rsidP="00F424CE">
      <w:pPr>
        <w:jc w:val="center"/>
        <w:rPr>
          <w:rFonts w:ascii="Arial" w:hAnsi="Arial" w:cs="Arial"/>
          <w:b/>
          <w:bCs/>
          <w:sz w:val="28"/>
          <w:szCs w:val="28"/>
        </w:rPr>
      </w:pPr>
      <w:r w:rsidRPr="003037DC">
        <w:rPr>
          <w:rFonts w:ascii="Arial" w:hAnsi="Arial" w:cs="Arial"/>
          <w:b/>
          <w:bCs/>
          <w:sz w:val="28"/>
          <w:szCs w:val="28"/>
        </w:rPr>
        <w:t xml:space="preserve">International Accounting Standards Board Research Forum </w:t>
      </w:r>
      <w:r w:rsidR="00FC285E" w:rsidRPr="003037DC">
        <w:rPr>
          <w:rFonts w:ascii="Arial" w:hAnsi="Arial" w:cs="Arial"/>
          <w:b/>
          <w:bCs/>
          <w:sz w:val="28"/>
          <w:szCs w:val="28"/>
        </w:rPr>
        <w:t xml:space="preserve">2025 </w:t>
      </w:r>
      <w:r w:rsidRPr="003037DC">
        <w:rPr>
          <w:rFonts w:ascii="Arial" w:hAnsi="Arial" w:cs="Arial"/>
          <w:b/>
          <w:bCs/>
          <w:sz w:val="28"/>
          <w:szCs w:val="28"/>
        </w:rPr>
        <w:t>in</w:t>
      </w:r>
    </w:p>
    <w:p w14:paraId="107DC7B3" w14:textId="26512AB6" w:rsidR="00F424CE" w:rsidRPr="003037DC" w:rsidRDefault="00F424CE" w:rsidP="00F424CE">
      <w:pPr>
        <w:jc w:val="center"/>
        <w:rPr>
          <w:rFonts w:ascii="Arial" w:hAnsi="Arial" w:cs="Arial"/>
          <w:b/>
          <w:bCs/>
          <w:sz w:val="28"/>
          <w:szCs w:val="28"/>
        </w:rPr>
      </w:pPr>
      <w:r w:rsidRPr="003037DC">
        <w:rPr>
          <w:rFonts w:ascii="Arial" w:hAnsi="Arial" w:cs="Arial"/>
          <w:b/>
          <w:bCs/>
          <w:sz w:val="28"/>
          <w:szCs w:val="28"/>
        </w:rPr>
        <w:t xml:space="preserve">conjunction with </w:t>
      </w:r>
      <w:r w:rsidRPr="003037DC">
        <w:rPr>
          <w:rFonts w:ascii="Arial" w:hAnsi="Arial" w:cs="Arial"/>
          <w:b/>
          <w:bCs/>
          <w:i/>
          <w:iCs/>
          <w:sz w:val="28"/>
          <w:szCs w:val="28"/>
        </w:rPr>
        <w:t>Accounting Horizons</w:t>
      </w:r>
    </w:p>
    <w:p w14:paraId="7827896A" w14:textId="77777777" w:rsidR="00F424CE" w:rsidRPr="003037DC" w:rsidRDefault="00F424CE">
      <w:pPr>
        <w:rPr>
          <w:rFonts w:ascii="Arial" w:hAnsi="Arial" w:cs="Arial"/>
          <w:b/>
          <w:bCs/>
          <w:sz w:val="22"/>
          <w:szCs w:val="22"/>
        </w:rPr>
      </w:pPr>
    </w:p>
    <w:p w14:paraId="3D0B124A" w14:textId="1551A96F" w:rsidR="007B6E87" w:rsidRPr="003037DC" w:rsidRDefault="00F424CE" w:rsidP="00F424CE">
      <w:pPr>
        <w:jc w:val="center"/>
        <w:rPr>
          <w:rFonts w:ascii="Arial" w:hAnsi="Arial" w:cs="Arial"/>
          <w:b/>
          <w:bCs/>
          <w:sz w:val="22"/>
          <w:szCs w:val="22"/>
        </w:rPr>
      </w:pPr>
      <w:r w:rsidRPr="003037DC">
        <w:rPr>
          <w:rFonts w:ascii="Arial" w:hAnsi="Arial" w:cs="Arial"/>
          <w:b/>
          <w:bCs/>
          <w:sz w:val="22"/>
          <w:szCs w:val="22"/>
        </w:rPr>
        <w:t>Call for Papers</w:t>
      </w:r>
    </w:p>
    <w:p w14:paraId="7C2BF8A2" w14:textId="77777777" w:rsidR="007B6E87" w:rsidRPr="003037DC" w:rsidRDefault="007B6E87">
      <w:pPr>
        <w:rPr>
          <w:rFonts w:ascii="Arial" w:hAnsi="Arial" w:cs="Arial"/>
          <w:sz w:val="22"/>
          <w:szCs w:val="22"/>
        </w:rPr>
      </w:pPr>
    </w:p>
    <w:p w14:paraId="7DDB2128" w14:textId="0E9F8C46" w:rsidR="007B6E87" w:rsidRPr="003037DC" w:rsidRDefault="00F424CE" w:rsidP="00FA0EC8">
      <w:pPr>
        <w:jc w:val="both"/>
        <w:rPr>
          <w:rFonts w:ascii="Arial" w:hAnsi="Arial" w:cs="Arial"/>
          <w:sz w:val="22"/>
          <w:szCs w:val="22"/>
        </w:rPr>
      </w:pPr>
      <w:r w:rsidRPr="003037DC">
        <w:rPr>
          <w:rFonts w:ascii="Arial" w:hAnsi="Arial" w:cs="Arial"/>
          <w:sz w:val="22"/>
          <w:szCs w:val="22"/>
        </w:rPr>
        <w:t xml:space="preserve">The International Accounting Standards Board (IASB) will hold a Research Forum in conjunction with </w:t>
      </w:r>
      <w:r w:rsidRPr="003037DC">
        <w:rPr>
          <w:rFonts w:ascii="Arial" w:hAnsi="Arial" w:cs="Arial"/>
          <w:i/>
          <w:iCs/>
          <w:sz w:val="22"/>
          <w:szCs w:val="22"/>
        </w:rPr>
        <w:t>Accounting Horizons</w:t>
      </w:r>
      <w:r w:rsidRPr="003037DC">
        <w:rPr>
          <w:rFonts w:ascii="Arial" w:hAnsi="Arial" w:cs="Arial"/>
          <w:sz w:val="22"/>
          <w:szCs w:val="22"/>
        </w:rPr>
        <w:t xml:space="preserve"> </w:t>
      </w:r>
      <w:r w:rsidR="00C2051A" w:rsidRPr="003037DC">
        <w:rPr>
          <w:rFonts w:ascii="Arial" w:hAnsi="Arial" w:cs="Arial"/>
          <w:sz w:val="22"/>
          <w:szCs w:val="22"/>
        </w:rPr>
        <w:t xml:space="preserve">and </w:t>
      </w:r>
      <w:r w:rsidR="00960EFA" w:rsidRPr="003037DC">
        <w:rPr>
          <w:rFonts w:ascii="Arial" w:hAnsi="Arial" w:cs="Arial"/>
          <w:sz w:val="22"/>
          <w:szCs w:val="22"/>
        </w:rPr>
        <w:t xml:space="preserve">Paderborn </w:t>
      </w:r>
      <w:r w:rsidR="00C2051A" w:rsidRPr="003037DC">
        <w:rPr>
          <w:rFonts w:ascii="Arial" w:hAnsi="Arial" w:cs="Arial"/>
          <w:sz w:val="22"/>
          <w:szCs w:val="22"/>
        </w:rPr>
        <w:t xml:space="preserve">University </w:t>
      </w:r>
      <w:r w:rsidR="00913BEE" w:rsidRPr="003037DC">
        <w:rPr>
          <w:rFonts w:ascii="Arial" w:hAnsi="Arial" w:cs="Arial"/>
          <w:sz w:val="22"/>
          <w:szCs w:val="22"/>
        </w:rPr>
        <w:t xml:space="preserve">in Germany </w:t>
      </w:r>
      <w:r w:rsidRPr="003037DC">
        <w:rPr>
          <w:rFonts w:ascii="Arial" w:hAnsi="Arial" w:cs="Arial"/>
          <w:sz w:val="22"/>
          <w:szCs w:val="22"/>
        </w:rPr>
        <w:t xml:space="preserve">on </w:t>
      </w:r>
      <w:r w:rsidR="00C23762">
        <w:rPr>
          <w:rFonts w:ascii="Arial" w:hAnsi="Arial" w:cs="Arial"/>
          <w:sz w:val="22"/>
          <w:szCs w:val="22"/>
        </w:rPr>
        <w:t xml:space="preserve">6–7 </w:t>
      </w:r>
      <w:r w:rsidR="00383EB3" w:rsidRPr="003037DC">
        <w:rPr>
          <w:rFonts w:ascii="Arial" w:hAnsi="Arial" w:cs="Arial"/>
          <w:sz w:val="22"/>
          <w:szCs w:val="22"/>
        </w:rPr>
        <w:t xml:space="preserve">November </w:t>
      </w:r>
      <w:r w:rsidRPr="003037DC">
        <w:rPr>
          <w:rFonts w:ascii="Arial" w:hAnsi="Arial" w:cs="Arial"/>
          <w:sz w:val="22"/>
          <w:szCs w:val="22"/>
        </w:rPr>
        <w:t xml:space="preserve">2025. </w:t>
      </w:r>
      <w:r w:rsidR="0085392D" w:rsidRPr="003037DC">
        <w:rPr>
          <w:rFonts w:ascii="Arial" w:hAnsi="Arial" w:cs="Arial"/>
          <w:sz w:val="22"/>
          <w:szCs w:val="22"/>
        </w:rPr>
        <w:t xml:space="preserve">The IASB Annual Research Forum series has been one of the most prominent platforms for dialogue relevant to accounting practice and standard setting. The invited audience will comprise about 50 academics and 50 non-academics. You are invited to submit academic research papers to help inform </w:t>
      </w:r>
      <w:r w:rsidR="00A90596" w:rsidRPr="003037DC">
        <w:rPr>
          <w:rFonts w:ascii="Arial" w:hAnsi="Arial" w:cs="Arial"/>
          <w:sz w:val="22"/>
          <w:szCs w:val="22"/>
        </w:rPr>
        <w:t xml:space="preserve">the standard-setting activities of the IASB. </w:t>
      </w:r>
    </w:p>
    <w:p w14:paraId="48B900FA" w14:textId="77777777" w:rsidR="007B6E87" w:rsidRPr="003037DC" w:rsidRDefault="007B6E87">
      <w:pPr>
        <w:rPr>
          <w:rFonts w:ascii="Arial" w:hAnsi="Arial" w:cs="Arial"/>
          <w:sz w:val="22"/>
          <w:szCs w:val="22"/>
        </w:rPr>
      </w:pPr>
    </w:p>
    <w:p w14:paraId="5ED8897D" w14:textId="77777777" w:rsidR="007B6E87" w:rsidRPr="003037DC" w:rsidRDefault="007B6E87">
      <w:pPr>
        <w:rPr>
          <w:rFonts w:ascii="Arial" w:hAnsi="Arial" w:cs="Arial"/>
          <w:sz w:val="22"/>
          <w:szCs w:val="22"/>
        </w:rPr>
      </w:pPr>
      <w:r w:rsidRPr="003037DC">
        <w:rPr>
          <w:rFonts w:ascii="Arial" w:hAnsi="Arial" w:cs="Arial"/>
          <w:sz w:val="22"/>
          <w:szCs w:val="22"/>
        </w:rPr>
        <w:t>We seek papers in the following areas:</w:t>
      </w:r>
    </w:p>
    <w:p w14:paraId="322C6E0C" w14:textId="5C05EA99" w:rsidR="007B6E87" w:rsidRPr="003037DC" w:rsidRDefault="007B6E87">
      <w:pPr>
        <w:rPr>
          <w:rFonts w:ascii="Arial" w:hAnsi="Arial" w:cs="Arial"/>
          <w:sz w:val="22"/>
          <w:szCs w:val="22"/>
        </w:rPr>
      </w:pPr>
    </w:p>
    <w:p w14:paraId="37786B79" w14:textId="5E4859E9" w:rsidR="007B6E87" w:rsidRPr="003037DC" w:rsidRDefault="007B6E87" w:rsidP="007B6E87">
      <w:pPr>
        <w:ind w:left="425"/>
        <w:rPr>
          <w:rFonts w:ascii="Arial" w:hAnsi="Arial" w:cs="Arial"/>
          <w:i/>
          <w:iCs/>
          <w:sz w:val="22"/>
          <w:szCs w:val="22"/>
        </w:rPr>
      </w:pPr>
      <w:r w:rsidRPr="003037DC">
        <w:rPr>
          <w:rFonts w:ascii="Arial" w:hAnsi="Arial" w:cs="Arial"/>
          <w:i/>
          <w:iCs/>
          <w:sz w:val="22"/>
          <w:szCs w:val="22"/>
        </w:rPr>
        <w:t xml:space="preserve">IASB projects </w:t>
      </w:r>
    </w:p>
    <w:p w14:paraId="38EC4BF9" w14:textId="00190692" w:rsidR="007B6E87" w:rsidRPr="003037DC" w:rsidRDefault="007B6E87" w:rsidP="00345355">
      <w:pPr>
        <w:pStyle w:val="ListParagraph"/>
        <w:numPr>
          <w:ilvl w:val="0"/>
          <w:numId w:val="4"/>
        </w:numPr>
        <w:rPr>
          <w:rFonts w:ascii="Arial" w:hAnsi="Arial" w:cs="Arial"/>
          <w:sz w:val="22"/>
          <w:szCs w:val="22"/>
        </w:rPr>
      </w:pPr>
      <w:r w:rsidRPr="003037DC">
        <w:rPr>
          <w:rFonts w:ascii="Arial" w:hAnsi="Arial" w:cs="Arial"/>
          <w:sz w:val="22"/>
          <w:szCs w:val="22"/>
        </w:rPr>
        <w:t xml:space="preserve">Cash </w:t>
      </w:r>
      <w:r w:rsidR="007541E3">
        <w:rPr>
          <w:rFonts w:ascii="Arial" w:hAnsi="Arial" w:cs="Arial"/>
          <w:sz w:val="22"/>
          <w:szCs w:val="22"/>
        </w:rPr>
        <w:t>F</w:t>
      </w:r>
      <w:r w:rsidRPr="003037DC">
        <w:rPr>
          <w:rFonts w:ascii="Arial" w:hAnsi="Arial" w:cs="Arial"/>
          <w:sz w:val="22"/>
          <w:szCs w:val="22"/>
        </w:rPr>
        <w:t>low</w:t>
      </w:r>
      <w:r w:rsidR="007541E3">
        <w:rPr>
          <w:rFonts w:ascii="Arial" w:hAnsi="Arial" w:cs="Arial"/>
          <w:sz w:val="22"/>
          <w:szCs w:val="22"/>
        </w:rPr>
        <w:t>s and Related Matters</w:t>
      </w:r>
      <w:r w:rsidRPr="003037DC">
        <w:rPr>
          <w:rFonts w:ascii="Arial" w:hAnsi="Arial" w:cs="Arial"/>
          <w:sz w:val="22"/>
          <w:szCs w:val="22"/>
        </w:rPr>
        <w:t xml:space="preserve"> – </w:t>
      </w:r>
      <w:r w:rsidR="00345355" w:rsidRPr="003037DC">
        <w:rPr>
          <w:rFonts w:ascii="Arial" w:hAnsi="Arial" w:cs="Arial"/>
          <w:sz w:val="22"/>
          <w:szCs w:val="22"/>
        </w:rPr>
        <w:t xml:space="preserve">IASB seeks </w:t>
      </w:r>
      <w:r w:rsidR="0039148F" w:rsidRPr="003037DC">
        <w:rPr>
          <w:rFonts w:ascii="Arial" w:hAnsi="Arial" w:cs="Arial"/>
          <w:sz w:val="22"/>
          <w:szCs w:val="22"/>
        </w:rPr>
        <w:t xml:space="preserve">evidence relevant to this project. See </w:t>
      </w:r>
      <w:hyperlink r:id="rId14" w:history="1">
        <w:r w:rsidR="0039148F" w:rsidRPr="009946D9">
          <w:rPr>
            <w:rStyle w:val="Hyperlink"/>
            <w:rFonts w:ascii="Arial" w:hAnsi="Arial" w:cs="Arial"/>
            <w:color w:val="auto"/>
            <w:sz w:val="22"/>
            <w:szCs w:val="22"/>
          </w:rPr>
          <w:t>IFRS - IASB pipeline projects</w:t>
        </w:r>
      </w:hyperlink>
      <w:r w:rsidR="0039148F" w:rsidRPr="007D4E41">
        <w:rPr>
          <w:rFonts w:ascii="Arial" w:hAnsi="Arial" w:cs="Arial"/>
          <w:sz w:val="22"/>
          <w:szCs w:val="22"/>
        </w:rPr>
        <w:t xml:space="preserve"> </w:t>
      </w:r>
    </w:p>
    <w:p w14:paraId="44BDAAED" w14:textId="4A8DAC32" w:rsidR="006256B3" w:rsidRPr="003037DC" w:rsidRDefault="007B6E87" w:rsidP="00AD3E08">
      <w:pPr>
        <w:pStyle w:val="ListParagraph"/>
        <w:numPr>
          <w:ilvl w:val="0"/>
          <w:numId w:val="4"/>
        </w:numPr>
        <w:rPr>
          <w:rStyle w:val="Hyperlink"/>
          <w:rFonts w:ascii="Arial" w:hAnsi="Arial" w:cs="Arial"/>
          <w:color w:val="auto"/>
          <w:sz w:val="22"/>
          <w:szCs w:val="22"/>
          <w:u w:val="none"/>
        </w:rPr>
      </w:pPr>
      <w:r w:rsidRPr="003037DC">
        <w:rPr>
          <w:rFonts w:ascii="Arial" w:hAnsi="Arial" w:cs="Arial"/>
          <w:sz w:val="22"/>
          <w:szCs w:val="22"/>
        </w:rPr>
        <w:t>Intangible</w:t>
      </w:r>
      <w:r w:rsidR="002264A9" w:rsidRPr="003037DC">
        <w:rPr>
          <w:rFonts w:ascii="Arial" w:hAnsi="Arial" w:cs="Arial"/>
          <w:sz w:val="22"/>
          <w:szCs w:val="22"/>
        </w:rPr>
        <w:t xml:space="preserve"> Asset</w:t>
      </w:r>
      <w:r w:rsidRPr="003037DC">
        <w:rPr>
          <w:rFonts w:ascii="Arial" w:hAnsi="Arial" w:cs="Arial"/>
          <w:sz w:val="22"/>
          <w:szCs w:val="22"/>
        </w:rPr>
        <w:t>s–</w:t>
      </w:r>
      <w:r w:rsidR="00345355" w:rsidRPr="003037DC">
        <w:rPr>
          <w:rFonts w:ascii="Arial" w:hAnsi="Arial" w:cs="Arial"/>
          <w:sz w:val="22"/>
          <w:szCs w:val="22"/>
        </w:rPr>
        <w:t xml:space="preserve"> </w:t>
      </w:r>
      <w:r w:rsidRPr="003037DC">
        <w:rPr>
          <w:rFonts w:ascii="Arial" w:hAnsi="Arial" w:cs="Arial"/>
          <w:sz w:val="22"/>
          <w:szCs w:val="22"/>
        </w:rPr>
        <w:t>IASB seeks evidence</w:t>
      </w:r>
      <w:r w:rsidR="00345355" w:rsidRPr="003037DC">
        <w:rPr>
          <w:rFonts w:ascii="Arial" w:hAnsi="Arial" w:cs="Arial"/>
          <w:sz w:val="22"/>
          <w:szCs w:val="22"/>
        </w:rPr>
        <w:t xml:space="preserve"> in </w:t>
      </w:r>
      <w:r w:rsidR="000C4A5C" w:rsidRPr="003037DC">
        <w:rPr>
          <w:rFonts w:ascii="Arial" w:hAnsi="Arial" w:cs="Arial"/>
          <w:sz w:val="22"/>
          <w:szCs w:val="22"/>
        </w:rPr>
        <w:t xml:space="preserve">several </w:t>
      </w:r>
      <w:r w:rsidR="00345355" w:rsidRPr="003037DC">
        <w:rPr>
          <w:rFonts w:ascii="Arial" w:hAnsi="Arial" w:cs="Arial"/>
          <w:sz w:val="22"/>
          <w:szCs w:val="22"/>
        </w:rPr>
        <w:t xml:space="preserve">areas, </w:t>
      </w:r>
      <w:r w:rsidR="20A07DEA" w:rsidRPr="003037DC">
        <w:rPr>
          <w:rFonts w:ascii="Arial" w:hAnsi="Arial" w:cs="Arial"/>
          <w:sz w:val="22"/>
          <w:szCs w:val="22"/>
        </w:rPr>
        <w:t>S</w:t>
      </w:r>
      <w:r w:rsidR="00345355" w:rsidRPr="003037DC">
        <w:rPr>
          <w:rFonts w:ascii="Arial" w:hAnsi="Arial" w:cs="Arial"/>
          <w:sz w:val="22"/>
          <w:szCs w:val="22"/>
        </w:rPr>
        <w:t xml:space="preserve">ee </w:t>
      </w:r>
      <w:hyperlink r:id="rId15" w:history="1">
        <w:r w:rsidR="0039148F" w:rsidRPr="003037DC">
          <w:rPr>
            <w:rStyle w:val="Hyperlink"/>
            <w:rFonts w:ascii="Arial" w:hAnsi="Arial" w:cs="Arial"/>
            <w:color w:val="auto"/>
            <w:sz w:val="22"/>
            <w:szCs w:val="22"/>
          </w:rPr>
          <w:t>IFRS - Intangible Assets</w:t>
        </w:r>
      </w:hyperlink>
      <w:r w:rsidR="141EA08D" w:rsidRPr="003037DC">
        <w:rPr>
          <w:rFonts w:ascii="Arial" w:hAnsi="Arial" w:cs="Arial"/>
          <w:sz w:val="22"/>
          <w:szCs w:val="22"/>
        </w:rPr>
        <w:t xml:space="preserve"> and</w:t>
      </w:r>
      <w:r w:rsidR="002F1521" w:rsidRPr="003037DC">
        <w:rPr>
          <w:rFonts w:ascii="Arial" w:hAnsi="Arial" w:cs="Arial"/>
          <w:sz w:val="22"/>
          <w:szCs w:val="22"/>
        </w:rPr>
        <w:t xml:space="preserve"> </w:t>
      </w:r>
      <w:hyperlink r:id="rId16" w:history="1">
        <w:r w:rsidR="002F1521" w:rsidRPr="003037DC">
          <w:rPr>
            <w:rStyle w:val="Hyperlink"/>
            <w:rFonts w:ascii="Arial" w:hAnsi="Arial" w:cs="Arial"/>
            <w:color w:val="auto"/>
            <w:sz w:val="22"/>
            <w:szCs w:val="22"/>
          </w:rPr>
          <w:t>EAA/EFRAG/IASB workshop materials</w:t>
        </w:r>
      </w:hyperlink>
    </w:p>
    <w:p w14:paraId="24ED7CB4" w14:textId="4FB9DC28" w:rsidR="007B6E87" w:rsidRPr="00E00B0B" w:rsidRDefault="00F3022F" w:rsidP="006256B3">
      <w:pPr>
        <w:pStyle w:val="ListParagraph"/>
        <w:numPr>
          <w:ilvl w:val="0"/>
          <w:numId w:val="4"/>
        </w:numPr>
        <w:rPr>
          <w:rFonts w:ascii="Arial" w:hAnsi="Arial" w:cs="Arial"/>
          <w:sz w:val="22"/>
          <w:szCs w:val="22"/>
        </w:rPr>
      </w:pPr>
      <w:r w:rsidRPr="00136EA6">
        <w:rPr>
          <w:rStyle w:val="Hyperlink"/>
          <w:rFonts w:ascii="Arial" w:hAnsi="Arial" w:cs="Arial"/>
          <w:color w:val="auto"/>
          <w:sz w:val="22"/>
          <w:szCs w:val="22"/>
          <w:u w:val="none"/>
        </w:rPr>
        <w:t xml:space="preserve">Any other </w:t>
      </w:r>
      <w:r w:rsidR="005C4C02" w:rsidRPr="00136EA6">
        <w:rPr>
          <w:rStyle w:val="Hyperlink"/>
          <w:rFonts w:ascii="Arial" w:hAnsi="Arial" w:cs="Arial"/>
          <w:color w:val="auto"/>
          <w:sz w:val="22"/>
          <w:szCs w:val="22"/>
          <w:u w:val="none"/>
        </w:rPr>
        <w:t>emerging issue</w:t>
      </w:r>
      <w:r w:rsidR="0035599F" w:rsidRPr="00136EA6">
        <w:rPr>
          <w:rStyle w:val="Hyperlink"/>
          <w:rFonts w:ascii="Arial" w:hAnsi="Arial" w:cs="Arial"/>
          <w:color w:val="auto"/>
          <w:sz w:val="22"/>
          <w:szCs w:val="22"/>
          <w:u w:val="none"/>
        </w:rPr>
        <w:t>s</w:t>
      </w:r>
      <w:r w:rsidR="005C4C02" w:rsidRPr="00136EA6">
        <w:rPr>
          <w:rStyle w:val="Hyperlink"/>
          <w:rFonts w:ascii="Arial" w:hAnsi="Arial" w:cs="Arial"/>
          <w:color w:val="auto"/>
          <w:sz w:val="22"/>
          <w:szCs w:val="22"/>
          <w:u w:val="none"/>
        </w:rPr>
        <w:t xml:space="preserve"> relevant to the </w:t>
      </w:r>
      <w:r w:rsidRPr="00136EA6">
        <w:rPr>
          <w:rStyle w:val="Hyperlink"/>
          <w:rFonts w:ascii="Arial" w:hAnsi="Arial" w:cs="Arial"/>
          <w:color w:val="auto"/>
          <w:sz w:val="22"/>
          <w:szCs w:val="22"/>
          <w:u w:val="none"/>
        </w:rPr>
        <w:t>IASB</w:t>
      </w:r>
      <w:r w:rsidR="00D54E11" w:rsidRPr="00136EA6">
        <w:rPr>
          <w:rStyle w:val="Hyperlink"/>
          <w:rFonts w:ascii="Arial" w:hAnsi="Arial" w:cs="Arial"/>
          <w:color w:val="auto"/>
          <w:sz w:val="22"/>
          <w:szCs w:val="22"/>
          <w:u w:val="none"/>
        </w:rPr>
        <w:t>. See</w:t>
      </w:r>
      <w:r w:rsidRPr="00136EA6">
        <w:rPr>
          <w:rStyle w:val="Hyperlink"/>
          <w:rFonts w:ascii="Arial" w:hAnsi="Arial" w:cs="Arial"/>
          <w:color w:val="auto"/>
          <w:sz w:val="22"/>
          <w:szCs w:val="22"/>
          <w:u w:val="none"/>
        </w:rPr>
        <w:t xml:space="preserve"> </w:t>
      </w:r>
      <w:hyperlink r:id="rId17" w:history="1">
        <w:r w:rsidR="00E00B0B" w:rsidRPr="00136EA6">
          <w:rPr>
            <w:rStyle w:val="Hyperlink"/>
            <w:rFonts w:ascii="Arial" w:hAnsi="Arial" w:cs="Arial"/>
            <w:color w:val="auto"/>
            <w:sz w:val="22"/>
            <w:szCs w:val="22"/>
          </w:rPr>
          <w:t>IFRS Foundation news and events</w:t>
        </w:r>
      </w:hyperlink>
      <w:r w:rsidR="00E00B0B" w:rsidRPr="00136EA6">
        <w:rPr>
          <w:rStyle w:val="Hyperlink"/>
          <w:rFonts w:ascii="Arial" w:hAnsi="Arial" w:cs="Arial"/>
          <w:color w:val="auto"/>
          <w:sz w:val="22"/>
          <w:szCs w:val="22"/>
          <w:u w:val="none"/>
        </w:rPr>
        <w:t xml:space="preserve"> </w:t>
      </w:r>
      <w:r w:rsidR="00A10A42" w:rsidRPr="00136EA6">
        <w:rPr>
          <w:rStyle w:val="Hyperlink"/>
          <w:rFonts w:ascii="Arial" w:hAnsi="Arial" w:cs="Arial"/>
          <w:color w:val="auto"/>
          <w:sz w:val="22"/>
          <w:szCs w:val="22"/>
          <w:u w:val="none"/>
        </w:rPr>
        <w:t xml:space="preserve"> </w:t>
      </w:r>
      <w:r w:rsidR="00780389">
        <w:rPr>
          <w:rStyle w:val="Hyperlink"/>
          <w:rFonts w:ascii="Arial" w:hAnsi="Arial" w:cs="Arial"/>
          <w:color w:val="auto"/>
          <w:sz w:val="22"/>
          <w:szCs w:val="22"/>
          <w:u w:val="none"/>
        </w:rPr>
        <w:t xml:space="preserve">and </w:t>
      </w:r>
      <w:hyperlink w:history="1"/>
      <w:hyperlink r:id="rId18" w:history="1">
        <w:r w:rsidR="00780389" w:rsidRPr="003037DC">
          <w:rPr>
            <w:rStyle w:val="Hyperlink"/>
            <w:rFonts w:ascii="Arial" w:hAnsi="Arial" w:cs="Arial"/>
            <w:color w:val="auto"/>
            <w:sz w:val="22"/>
            <w:szCs w:val="22"/>
          </w:rPr>
          <w:t>IFRS - IASB pipeline projects</w:t>
        </w:r>
      </w:hyperlink>
    </w:p>
    <w:p w14:paraId="21B8A129" w14:textId="77777777" w:rsidR="004F7C25" w:rsidRPr="003037DC" w:rsidRDefault="004F7C25" w:rsidP="007B6E87">
      <w:pPr>
        <w:ind w:left="425"/>
        <w:rPr>
          <w:rFonts w:ascii="Arial" w:hAnsi="Arial" w:cs="Arial"/>
          <w:sz w:val="22"/>
          <w:szCs w:val="22"/>
        </w:rPr>
      </w:pPr>
    </w:p>
    <w:p w14:paraId="616D9DF8" w14:textId="7C816BE2" w:rsidR="007B6E87" w:rsidRPr="003037DC" w:rsidRDefault="00806528" w:rsidP="2DA30360">
      <w:pPr>
        <w:ind w:left="425"/>
        <w:rPr>
          <w:rFonts w:ascii="Arial" w:hAnsi="Arial" w:cs="Arial"/>
          <w:i/>
          <w:iCs/>
          <w:sz w:val="22"/>
          <w:szCs w:val="22"/>
        </w:rPr>
      </w:pPr>
      <w:r w:rsidRPr="003037DC">
        <w:rPr>
          <w:rFonts w:ascii="Arial" w:hAnsi="Arial" w:cs="Arial"/>
          <w:i/>
          <w:iCs/>
          <w:sz w:val="22"/>
          <w:szCs w:val="22"/>
        </w:rPr>
        <w:t>Costs and b</w:t>
      </w:r>
      <w:r w:rsidR="007B6E87" w:rsidRPr="003037DC">
        <w:rPr>
          <w:rFonts w:ascii="Arial" w:hAnsi="Arial" w:cs="Arial"/>
          <w:i/>
          <w:iCs/>
          <w:sz w:val="22"/>
          <w:szCs w:val="22"/>
        </w:rPr>
        <w:t>enefits of IFRS Accounting Standards</w:t>
      </w:r>
    </w:p>
    <w:p w14:paraId="045F8232" w14:textId="4AFDA251" w:rsidR="007B6E87" w:rsidRPr="003037DC" w:rsidRDefault="00345355" w:rsidP="00345355">
      <w:pPr>
        <w:pStyle w:val="ListParagraph"/>
        <w:numPr>
          <w:ilvl w:val="0"/>
          <w:numId w:val="5"/>
        </w:numPr>
        <w:rPr>
          <w:rFonts w:ascii="Arial" w:hAnsi="Arial" w:cs="Arial"/>
          <w:sz w:val="22"/>
          <w:szCs w:val="22"/>
        </w:rPr>
      </w:pPr>
      <w:r w:rsidRPr="003037DC">
        <w:rPr>
          <w:rFonts w:ascii="Arial" w:hAnsi="Arial" w:cs="Arial"/>
          <w:sz w:val="22"/>
          <w:szCs w:val="22"/>
        </w:rPr>
        <w:t>More than 140 jurisdictions require or permit the use of IFRS Accounting Standards. The IASB seeks evidence about the costs and benefits of the use of the Standards</w:t>
      </w:r>
      <w:r w:rsidR="001E67E9" w:rsidRPr="003037DC">
        <w:rPr>
          <w:rFonts w:ascii="Arial" w:hAnsi="Arial" w:cs="Arial"/>
          <w:sz w:val="22"/>
          <w:szCs w:val="22"/>
        </w:rPr>
        <w:t xml:space="preserve"> </w:t>
      </w:r>
      <w:r w:rsidR="000F27FF" w:rsidRPr="003037DC">
        <w:rPr>
          <w:rFonts w:ascii="Arial" w:hAnsi="Arial" w:cs="Arial"/>
          <w:sz w:val="22"/>
          <w:szCs w:val="22"/>
        </w:rPr>
        <w:t xml:space="preserve">over the long term since 2005. Areas of interest </w:t>
      </w:r>
      <w:r w:rsidR="001E67E9" w:rsidRPr="003037DC">
        <w:rPr>
          <w:rFonts w:ascii="Arial" w:hAnsi="Arial" w:cs="Arial"/>
          <w:sz w:val="22"/>
          <w:szCs w:val="22"/>
        </w:rPr>
        <w:t>includ</w:t>
      </w:r>
      <w:r w:rsidR="000F27FF" w:rsidRPr="003037DC">
        <w:rPr>
          <w:rFonts w:ascii="Arial" w:hAnsi="Arial" w:cs="Arial"/>
          <w:sz w:val="22"/>
          <w:szCs w:val="22"/>
        </w:rPr>
        <w:t>e</w:t>
      </w:r>
      <w:r w:rsidRPr="003037DC">
        <w:rPr>
          <w:rFonts w:ascii="Arial" w:hAnsi="Arial" w:cs="Arial"/>
          <w:sz w:val="22"/>
          <w:szCs w:val="22"/>
        </w:rPr>
        <w:t>:</w:t>
      </w:r>
    </w:p>
    <w:p w14:paraId="4E031292" w14:textId="7F48E220" w:rsidR="00345355" w:rsidRPr="003037DC" w:rsidRDefault="008A5131" w:rsidP="00061411">
      <w:pPr>
        <w:pStyle w:val="ListParagraph"/>
        <w:numPr>
          <w:ilvl w:val="1"/>
          <w:numId w:val="5"/>
        </w:numPr>
        <w:rPr>
          <w:rFonts w:ascii="Arial" w:hAnsi="Arial" w:cs="Arial"/>
          <w:sz w:val="22"/>
          <w:szCs w:val="22"/>
        </w:rPr>
      </w:pPr>
      <w:r w:rsidRPr="003037DC">
        <w:rPr>
          <w:rFonts w:ascii="Arial" w:hAnsi="Arial" w:cs="Arial"/>
          <w:sz w:val="22"/>
          <w:szCs w:val="22"/>
        </w:rPr>
        <w:t>Application of Standards i</w:t>
      </w:r>
      <w:r w:rsidR="00345355" w:rsidRPr="003037DC">
        <w:rPr>
          <w:rFonts w:ascii="Arial" w:hAnsi="Arial" w:cs="Arial"/>
          <w:sz w:val="22"/>
          <w:szCs w:val="22"/>
        </w:rPr>
        <w:t xml:space="preserve">n large markets, in </w:t>
      </w:r>
      <w:r w:rsidR="00CE6042" w:rsidRPr="003037DC">
        <w:rPr>
          <w:rFonts w:ascii="Arial" w:hAnsi="Arial" w:cs="Arial"/>
          <w:sz w:val="22"/>
          <w:szCs w:val="22"/>
        </w:rPr>
        <w:t xml:space="preserve">developing </w:t>
      </w:r>
      <w:r w:rsidR="00345355" w:rsidRPr="003037DC">
        <w:rPr>
          <w:rFonts w:ascii="Arial" w:hAnsi="Arial" w:cs="Arial"/>
          <w:sz w:val="22"/>
          <w:szCs w:val="22"/>
        </w:rPr>
        <w:t>markets and for private companies (</w:t>
      </w:r>
      <w:r w:rsidR="000F27FF" w:rsidRPr="003037DC">
        <w:rPr>
          <w:rFonts w:ascii="Arial" w:hAnsi="Arial" w:cs="Arial"/>
          <w:sz w:val="22"/>
          <w:szCs w:val="22"/>
        </w:rPr>
        <w:t xml:space="preserve">including use of the </w:t>
      </w:r>
      <w:r w:rsidR="00345355" w:rsidRPr="003037DC">
        <w:rPr>
          <w:rFonts w:ascii="Arial" w:hAnsi="Arial" w:cs="Arial"/>
          <w:sz w:val="22"/>
          <w:szCs w:val="22"/>
        </w:rPr>
        <w:t>IFRS for SMEs Accounting Standard</w:t>
      </w:r>
      <w:r w:rsidR="00200E14" w:rsidRPr="003037DC">
        <w:rPr>
          <w:rFonts w:ascii="Arial" w:hAnsi="Arial" w:cs="Arial"/>
          <w:sz w:val="22"/>
          <w:szCs w:val="22"/>
        </w:rPr>
        <w:t>). Exploration of the exten</w:t>
      </w:r>
      <w:r w:rsidR="00061411" w:rsidRPr="003037DC">
        <w:rPr>
          <w:rFonts w:ascii="Arial" w:hAnsi="Arial" w:cs="Arial"/>
          <w:sz w:val="22"/>
          <w:szCs w:val="22"/>
        </w:rPr>
        <w:t xml:space="preserve">t </w:t>
      </w:r>
      <w:r w:rsidR="00200E14" w:rsidRPr="003037DC">
        <w:rPr>
          <w:rFonts w:ascii="Arial" w:hAnsi="Arial" w:cs="Arial"/>
          <w:sz w:val="22"/>
          <w:szCs w:val="22"/>
        </w:rPr>
        <w:t>and quality of implementation.</w:t>
      </w:r>
    </w:p>
    <w:p w14:paraId="65074C42" w14:textId="121020B7" w:rsidR="00D54BBD" w:rsidRPr="003037DC" w:rsidRDefault="00345355" w:rsidP="00D54BBD">
      <w:pPr>
        <w:pStyle w:val="ListParagraph"/>
        <w:numPr>
          <w:ilvl w:val="1"/>
          <w:numId w:val="5"/>
        </w:numPr>
        <w:rPr>
          <w:rFonts w:ascii="Arial" w:hAnsi="Arial" w:cs="Arial"/>
          <w:sz w:val="22"/>
          <w:szCs w:val="22"/>
        </w:rPr>
      </w:pPr>
      <w:r w:rsidRPr="003037DC">
        <w:rPr>
          <w:rFonts w:ascii="Arial" w:hAnsi="Arial" w:cs="Arial"/>
          <w:sz w:val="22"/>
          <w:szCs w:val="22"/>
        </w:rPr>
        <w:t>Impact on transparency and comparability of financial information and consequential economic impact</w:t>
      </w:r>
      <w:r w:rsidR="009E6619" w:rsidRPr="003037DC">
        <w:rPr>
          <w:rFonts w:ascii="Arial" w:hAnsi="Arial" w:cs="Arial"/>
          <w:sz w:val="22"/>
          <w:szCs w:val="22"/>
        </w:rPr>
        <w:t>.</w:t>
      </w:r>
      <w:r w:rsidR="00592808" w:rsidRPr="003037DC">
        <w:rPr>
          <w:rFonts w:ascii="Arial" w:hAnsi="Arial" w:cs="Arial"/>
          <w:sz w:val="22"/>
          <w:szCs w:val="22"/>
        </w:rPr>
        <w:t xml:space="preserve"> </w:t>
      </w:r>
    </w:p>
    <w:p w14:paraId="406C570A" w14:textId="5B7BB637" w:rsidR="00D54BBD" w:rsidRPr="003037DC" w:rsidRDefault="00D54BBD" w:rsidP="00D54BBD">
      <w:pPr>
        <w:pStyle w:val="ListParagraph"/>
        <w:numPr>
          <w:ilvl w:val="1"/>
          <w:numId w:val="5"/>
        </w:numPr>
        <w:rPr>
          <w:rFonts w:ascii="Arial" w:hAnsi="Arial" w:cs="Arial"/>
          <w:sz w:val="22"/>
          <w:szCs w:val="22"/>
        </w:rPr>
      </w:pPr>
      <w:r w:rsidRPr="003037DC">
        <w:rPr>
          <w:rFonts w:ascii="Arial" w:hAnsi="Arial" w:cs="Arial"/>
          <w:sz w:val="22"/>
          <w:szCs w:val="22"/>
        </w:rPr>
        <w:t>Impact of principles-based standards, use of judgement and application of materiality</w:t>
      </w:r>
      <w:r w:rsidR="009E6619" w:rsidRPr="003037DC">
        <w:rPr>
          <w:rFonts w:ascii="Arial" w:hAnsi="Arial" w:cs="Arial"/>
          <w:sz w:val="22"/>
          <w:szCs w:val="22"/>
        </w:rPr>
        <w:t>.</w:t>
      </w:r>
    </w:p>
    <w:p w14:paraId="636F2FAE" w14:textId="65C799A2" w:rsidR="00345355" w:rsidRPr="003037DC" w:rsidRDefault="00296F3B" w:rsidP="00345355">
      <w:pPr>
        <w:pStyle w:val="ListParagraph"/>
        <w:numPr>
          <w:ilvl w:val="1"/>
          <w:numId w:val="5"/>
        </w:numPr>
        <w:rPr>
          <w:rFonts w:ascii="Arial" w:hAnsi="Arial" w:cs="Arial"/>
          <w:sz w:val="22"/>
          <w:szCs w:val="22"/>
        </w:rPr>
      </w:pPr>
      <w:r w:rsidRPr="003037DC">
        <w:rPr>
          <w:rFonts w:ascii="Arial" w:hAnsi="Arial" w:cs="Arial"/>
          <w:sz w:val="22"/>
          <w:szCs w:val="22"/>
        </w:rPr>
        <w:t xml:space="preserve">Factors that facilitate the growth of </w:t>
      </w:r>
      <w:r w:rsidR="004C3957" w:rsidRPr="003037DC">
        <w:rPr>
          <w:rFonts w:ascii="Arial" w:hAnsi="Arial" w:cs="Arial"/>
          <w:sz w:val="22"/>
          <w:szCs w:val="22"/>
        </w:rPr>
        <w:t>IFRS Accounting Standards as the</w:t>
      </w:r>
      <w:r w:rsidRPr="003037DC">
        <w:rPr>
          <w:rFonts w:ascii="Arial" w:hAnsi="Arial" w:cs="Arial"/>
          <w:sz w:val="22"/>
          <w:szCs w:val="22"/>
        </w:rPr>
        <w:t xml:space="preserve"> global accounting language</w:t>
      </w:r>
      <w:r w:rsidR="009E6619" w:rsidRPr="003037DC">
        <w:rPr>
          <w:rFonts w:ascii="Arial" w:hAnsi="Arial" w:cs="Arial"/>
          <w:sz w:val="22"/>
          <w:szCs w:val="22"/>
        </w:rPr>
        <w:t>.</w:t>
      </w:r>
    </w:p>
    <w:p w14:paraId="5EE69933" w14:textId="2A32E3A8" w:rsidR="007B6E87" w:rsidRPr="00136EA6" w:rsidRDefault="00211ED5" w:rsidP="007B6E87">
      <w:pPr>
        <w:ind w:left="425"/>
        <w:rPr>
          <w:rFonts w:ascii="Arial" w:hAnsi="Arial" w:cs="Arial"/>
          <w:sz w:val="22"/>
          <w:szCs w:val="22"/>
        </w:rPr>
      </w:pPr>
      <w:r>
        <w:rPr>
          <w:rFonts w:ascii="Arial" w:hAnsi="Arial" w:cs="Arial"/>
          <w:sz w:val="22"/>
          <w:szCs w:val="22"/>
        </w:rPr>
        <w:t xml:space="preserve">See </w:t>
      </w:r>
      <w:hyperlink r:id="rId19" w:history="1">
        <w:r w:rsidR="00BF4CCC" w:rsidRPr="00136EA6">
          <w:rPr>
            <w:rStyle w:val="Hyperlink"/>
            <w:rFonts w:ascii="Arial" w:hAnsi="Arial" w:cs="Arial"/>
            <w:color w:val="auto"/>
            <w:sz w:val="22"/>
            <w:szCs w:val="22"/>
          </w:rPr>
          <w:t>Use of IFRS Accounting Standards by jurisdiction</w:t>
        </w:r>
      </w:hyperlink>
    </w:p>
    <w:p w14:paraId="522BA567" w14:textId="77777777" w:rsidR="00C723D1" w:rsidRPr="003037DC" w:rsidRDefault="00C723D1" w:rsidP="007B6E87">
      <w:pPr>
        <w:ind w:left="425"/>
        <w:rPr>
          <w:rFonts w:ascii="Arial" w:hAnsi="Arial" w:cs="Arial"/>
          <w:sz w:val="22"/>
          <w:szCs w:val="22"/>
        </w:rPr>
      </w:pPr>
    </w:p>
    <w:p w14:paraId="6908B295" w14:textId="4F90225A" w:rsidR="007B6E87" w:rsidRPr="003037DC" w:rsidRDefault="007B6E87" w:rsidP="007B6E87">
      <w:pPr>
        <w:ind w:left="425"/>
        <w:rPr>
          <w:rFonts w:ascii="Arial" w:hAnsi="Arial" w:cs="Arial"/>
          <w:i/>
          <w:iCs/>
          <w:sz w:val="22"/>
          <w:szCs w:val="22"/>
        </w:rPr>
      </w:pPr>
      <w:r w:rsidRPr="003037DC">
        <w:rPr>
          <w:rFonts w:ascii="Arial" w:hAnsi="Arial" w:cs="Arial"/>
          <w:i/>
          <w:iCs/>
          <w:sz w:val="22"/>
          <w:szCs w:val="22"/>
        </w:rPr>
        <w:t>Impact of changes in financial reporting environment</w:t>
      </w:r>
    </w:p>
    <w:p w14:paraId="7845C05D" w14:textId="2A17EAA0" w:rsidR="00345355" w:rsidRPr="003037DC" w:rsidRDefault="00345355" w:rsidP="00345355">
      <w:pPr>
        <w:pStyle w:val="ListParagraph"/>
        <w:numPr>
          <w:ilvl w:val="0"/>
          <w:numId w:val="5"/>
        </w:numPr>
        <w:rPr>
          <w:rFonts w:ascii="Arial" w:hAnsi="Arial" w:cs="Arial"/>
          <w:sz w:val="22"/>
          <w:szCs w:val="22"/>
        </w:rPr>
      </w:pPr>
      <w:r w:rsidRPr="003037DC">
        <w:rPr>
          <w:rFonts w:ascii="Arial" w:hAnsi="Arial" w:cs="Arial"/>
          <w:sz w:val="22"/>
          <w:szCs w:val="22"/>
        </w:rPr>
        <w:t>The IASB operates in a global environment that has change</w:t>
      </w:r>
      <w:r w:rsidR="70C420A4" w:rsidRPr="003037DC">
        <w:rPr>
          <w:rFonts w:ascii="Arial" w:hAnsi="Arial" w:cs="Arial"/>
          <w:sz w:val="22"/>
          <w:szCs w:val="22"/>
        </w:rPr>
        <w:t>d</w:t>
      </w:r>
      <w:r w:rsidRPr="003037DC">
        <w:rPr>
          <w:rFonts w:ascii="Arial" w:hAnsi="Arial" w:cs="Arial"/>
          <w:sz w:val="22"/>
          <w:szCs w:val="22"/>
        </w:rPr>
        <w:t xml:space="preserve"> dramatically since </w:t>
      </w:r>
      <w:r w:rsidR="008D5D6B" w:rsidRPr="003037DC">
        <w:rPr>
          <w:rFonts w:ascii="Arial" w:hAnsi="Arial" w:cs="Arial"/>
          <w:sz w:val="22"/>
          <w:szCs w:val="22"/>
        </w:rPr>
        <w:t xml:space="preserve">the Board was formed </w:t>
      </w:r>
      <w:r w:rsidRPr="003037DC">
        <w:rPr>
          <w:rFonts w:ascii="Arial" w:hAnsi="Arial" w:cs="Arial"/>
          <w:sz w:val="22"/>
          <w:szCs w:val="22"/>
        </w:rPr>
        <w:t>in 200</w:t>
      </w:r>
      <w:r w:rsidR="00806528" w:rsidRPr="003037DC">
        <w:rPr>
          <w:rFonts w:ascii="Arial" w:hAnsi="Arial" w:cs="Arial"/>
          <w:sz w:val="22"/>
          <w:szCs w:val="22"/>
        </w:rPr>
        <w:t>1</w:t>
      </w:r>
      <w:r w:rsidRPr="003037DC">
        <w:rPr>
          <w:rFonts w:ascii="Arial" w:hAnsi="Arial" w:cs="Arial"/>
          <w:sz w:val="22"/>
          <w:szCs w:val="22"/>
        </w:rPr>
        <w:t xml:space="preserve">. The IASB seeks evidence about the impact </w:t>
      </w:r>
      <w:r w:rsidR="05629075" w:rsidRPr="003037DC">
        <w:rPr>
          <w:rFonts w:ascii="Arial" w:hAnsi="Arial" w:cs="Arial"/>
          <w:sz w:val="22"/>
          <w:szCs w:val="22"/>
        </w:rPr>
        <w:t xml:space="preserve">for primary users of accounting information </w:t>
      </w:r>
      <w:r w:rsidR="147C68F8" w:rsidRPr="003037DC">
        <w:rPr>
          <w:rFonts w:ascii="Arial" w:hAnsi="Arial" w:cs="Arial"/>
          <w:sz w:val="22"/>
          <w:szCs w:val="22"/>
        </w:rPr>
        <w:t xml:space="preserve">of </w:t>
      </w:r>
      <w:r w:rsidR="05629075" w:rsidRPr="003037DC">
        <w:rPr>
          <w:rFonts w:ascii="Arial" w:hAnsi="Arial" w:cs="Arial"/>
          <w:sz w:val="22"/>
          <w:szCs w:val="22"/>
        </w:rPr>
        <w:t xml:space="preserve">new standards, </w:t>
      </w:r>
      <w:r w:rsidR="2B667C7E" w:rsidRPr="003037DC">
        <w:rPr>
          <w:rFonts w:ascii="Arial" w:hAnsi="Arial" w:cs="Arial"/>
          <w:sz w:val="22"/>
          <w:szCs w:val="22"/>
        </w:rPr>
        <w:t xml:space="preserve">more </w:t>
      </w:r>
      <w:r w:rsidR="05629075" w:rsidRPr="003037DC">
        <w:rPr>
          <w:rFonts w:ascii="Arial" w:hAnsi="Arial" w:cs="Arial"/>
          <w:sz w:val="22"/>
          <w:szCs w:val="22"/>
        </w:rPr>
        <w:t xml:space="preserve">disclosure </w:t>
      </w:r>
      <w:r w:rsidR="008D5D6B" w:rsidRPr="003037DC">
        <w:rPr>
          <w:rFonts w:ascii="Arial" w:hAnsi="Arial" w:cs="Arial"/>
          <w:sz w:val="22"/>
          <w:szCs w:val="22"/>
        </w:rPr>
        <w:t xml:space="preserve">requirements </w:t>
      </w:r>
      <w:r w:rsidR="05629075" w:rsidRPr="003037DC">
        <w:rPr>
          <w:rFonts w:ascii="Arial" w:hAnsi="Arial" w:cs="Arial"/>
          <w:sz w:val="22"/>
          <w:szCs w:val="22"/>
        </w:rPr>
        <w:t xml:space="preserve">and </w:t>
      </w:r>
      <w:r w:rsidR="147C68F8" w:rsidRPr="003037DC">
        <w:rPr>
          <w:rFonts w:ascii="Arial" w:hAnsi="Arial" w:cs="Arial"/>
          <w:sz w:val="22"/>
          <w:szCs w:val="22"/>
        </w:rPr>
        <w:t xml:space="preserve">changes </w:t>
      </w:r>
      <w:r w:rsidR="05629075" w:rsidRPr="003037DC">
        <w:rPr>
          <w:rFonts w:ascii="Arial" w:hAnsi="Arial" w:cs="Arial"/>
          <w:sz w:val="22"/>
          <w:szCs w:val="22"/>
        </w:rPr>
        <w:t xml:space="preserve">in </w:t>
      </w:r>
      <w:r w:rsidRPr="003037DC">
        <w:rPr>
          <w:rFonts w:ascii="Arial" w:hAnsi="Arial" w:cs="Arial"/>
          <w:sz w:val="22"/>
          <w:szCs w:val="22"/>
        </w:rPr>
        <w:t>how accounting information is generated and consumed</w:t>
      </w:r>
      <w:r w:rsidR="05629075" w:rsidRPr="003037DC">
        <w:rPr>
          <w:rFonts w:ascii="Arial" w:hAnsi="Arial" w:cs="Arial"/>
          <w:sz w:val="22"/>
          <w:szCs w:val="22"/>
        </w:rPr>
        <w:t xml:space="preserve">. Areas of interest </w:t>
      </w:r>
      <w:r w:rsidRPr="003037DC">
        <w:rPr>
          <w:rFonts w:ascii="Arial" w:hAnsi="Arial" w:cs="Arial"/>
          <w:sz w:val="22"/>
          <w:szCs w:val="22"/>
        </w:rPr>
        <w:t>includ</w:t>
      </w:r>
      <w:r w:rsidR="05629075" w:rsidRPr="003037DC">
        <w:rPr>
          <w:rFonts w:ascii="Arial" w:hAnsi="Arial" w:cs="Arial"/>
          <w:sz w:val="22"/>
          <w:szCs w:val="22"/>
        </w:rPr>
        <w:t>e</w:t>
      </w:r>
      <w:r w:rsidRPr="003037DC">
        <w:rPr>
          <w:rFonts w:ascii="Arial" w:hAnsi="Arial" w:cs="Arial"/>
          <w:sz w:val="22"/>
          <w:szCs w:val="22"/>
        </w:rPr>
        <w:t>:</w:t>
      </w:r>
    </w:p>
    <w:p w14:paraId="636FE4C3" w14:textId="4B149916" w:rsidR="000F27FF" w:rsidRPr="003037DC" w:rsidRDefault="000F27FF" w:rsidP="00345355">
      <w:pPr>
        <w:pStyle w:val="ListParagraph"/>
        <w:numPr>
          <w:ilvl w:val="1"/>
          <w:numId w:val="5"/>
        </w:numPr>
        <w:rPr>
          <w:rFonts w:ascii="Arial" w:hAnsi="Arial" w:cs="Arial"/>
          <w:sz w:val="22"/>
          <w:szCs w:val="22"/>
        </w:rPr>
      </w:pPr>
      <w:r w:rsidRPr="003037DC">
        <w:rPr>
          <w:rFonts w:ascii="Arial" w:hAnsi="Arial" w:cs="Arial"/>
          <w:sz w:val="22"/>
          <w:szCs w:val="22"/>
        </w:rPr>
        <w:t xml:space="preserve">Impact of better information </w:t>
      </w:r>
      <w:r w:rsidR="00B163D1" w:rsidRPr="003037DC">
        <w:rPr>
          <w:rFonts w:ascii="Arial" w:hAnsi="Arial" w:cs="Arial"/>
          <w:sz w:val="22"/>
          <w:szCs w:val="22"/>
        </w:rPr>
        <w:t xml:space="preserve">from </w:t>
      </w:r>
      <w:r w:rsidRPr="003037DC">
        <w:rPr>
          <w:rFonts w:ascii="Arial" w:hAnsi="Arial" w:cs="Arial"/>
          <w:sz w:val="22"/>
          <w:szCs w:val="22"/>
        </w:rPr>
        <w:t>new Standards (IFRS 9</w:t>
      </w:r>
      <w:r w:rsidR="005C2E4E">
        <w:rPr>
          <w:rFonts w:ascii="Arial" w:hAnsi="Arial" w:cs="Arial"/>
          <w:sz w:val="22"/>
          <w:szCs w:val="22"/>
        </w:rPr>
        <w:t xml:space="preserve"> </w:t>
      </w:r>
      <w:r w:rsidR="005C2E4E">
        <w:rPr>
          <w:rFonts w:ascii="Arial" w:hAnsi="Arial" w:cs="Arial"/>
          <w:i/>
          <w:iCs/>
          <w:sz w:val="22"/>
          <w:szCs w:val="22"/>
        </w:rPr>
        <w:t>Financial Instruments</w:t>
      </w:r>
      <w:r w:rsidRPr="003037DC">
        <w:rPr>
          <w:rFonts w:ascii="Arial" w:hAnsi="Arial" w:cs="Arial"/>
          <w:sz w:val="22"/>
          <w:szCs w:val="22"/>
        </w:rPr>
        <w:t xml:space="preserve">, </w:t>
      </w:r>
      <w:r w:rsidR="005C2E4E">
        <w:rPr>
          <w:rFonts w:ascii="Arial" w:hAnsi="Arial" w:cs="Arial"/>
          <w:sz w:val="22"/>
          <w:szCs w:val="22"/>
        </w:rPr>
        <w:t xml:space="preserve">IFRS </w:t>
      </w:r>
      <w:r w:rsidRPr="003037DC">
        <w:rPr>
          <w:rFonts w:ascii="Arial" w:hAnsi="Arial" w:cs="Arial"/>
          <w:sz w:val="22"/>
          <w:szCs w:val="22"/>
        </w:rPr>
        <w:t>15</w:t>
      </w:r>
      <w:r w:rsidR="005C2E4E">
        <w:rPr>
          <w:rFonts w:ascii="Arial" w:hAnsi="Arial" w:cs="Arial"/>
          <w:sz w:val="22"/>
          <w:szCs w:val="22"/>
        </w:rPr>
        <w:t xml:space="preserve"> </w:t>
      </w:r>
      <w:r w:rsidR="005C2E4E" w:rsidRPr="00136EA6">
        <w:rPr>
          <w:rFonts w:ascii="Arial" w:hAnsi="Arial" w:cs="Arial"/>
          <w:i/>
          <w:iCs/>
          <w:sz w:val="22"/>
          <w:szCs w:val="22"/>
        </w:rPr>
        <w:t>Revenue from Contracts with Customers</w:t>
      </w:r>
      <w:r w:rsidRPr="003037DC">
        <w:rPr>
          <w:rFonts w:ascii="Arial" w:hAnsi="Arial" w:cs="Arial"/>
          <w:sz w:val="22"/>
          <w:szCs w:val="22"/>
        </w:rPr>
        <w:t xml:space="preserve">, </w:t>
      </w:r>
      <w:r w:rsidR="005C2E4E">
        <w:rPr>
          <w:rFonts w:ascii="Arial" w:hAnsi="Arial" w:cs="Arial"/>
          <w:sz w:val="22"/>
          <w:szCs w:val="22"/>
        </w:rPr>
        <w:t xml:space="preserve">IFRS </w:t>
      </w:r>
      <w:r w:rsidRPr="003037DC">
        <w:rPr>
          <w:rFonts w:ascii="Arial" w:hAnsi="Arial" w:cs="Arial"/>
          <w:sz w:val="22"/>
          <w:szCs w:val="22"/>
        </w:rPr>
        <w:t>16</w:t>
      </w:r>
      <w:r w:rsidR="005C2E4E">
        <w:rPr>
          <w:rFonts w:ascii="Arial" w:hAnsi="Arial" w:cs="Arial"/>
          <w:sz w:val="22"/>
          <w:szCs w:val="22"/>
        </w:rPr>
        <w:t xml:space="preserve"> Leases</w:t>
      </w:r>
      <w:r w:rsidRPr="003037DC">
        <w:rPr>
          <w:rFonts w:ascii="Arial" w:hAnsi="Arial" w:cs="Arial"/>
          <w:sz w:val="22"/>
          <w:szCs w:val="22"/>
        </w:rPr>
        <w:t xml:space="preserve">, </w:t>
      </w:r>
      <w:r w:rsidR="00D46DFA">
        <w:rPr>
          <w:rFonts w:ascii="Arial" w:hAnsi="Arial" w:cs="Arial"/>
          <w:sz w:val="22"/>
          <w:szCs w:val="22"/>
        </w:rPr>
        <w:t xml:space="preserve">IFRS </w:t>
      </w:r>
      <w:r w:rsidRPr="003037DC">
        <w:rPr>
          <w:rFonts w:ascii="Arial" w:hAnsi="Arial" w:cs="Arial"/>
          <w:sz w:val="22"/>
          <w:szCs w:val="22"/>
        </w:rPr>
        <w:t>17</w:t>
      </w:r>
      <w:r w:rsidR="00D32E68">
        <w:rPr>
          <w:rFonts w:ascii="Arial" w:hAnsi="Arial" w:cs="Arial"/>
          <w:sz w:val="22"/>
          <w:szCs w:val="22"/>
        </w:rPr>
        <w:t xml:space="preserve"> </w:t>
      </w:r>
      <w:r w:rsidR="00D32E68" w:rsidRPr="00136EA6">
        <w:rPr>
          <w:rFonts w:ascii="Arial" w:hAnsi="Arial" w:cs="Arial"/>
          <w:i/>
          <w:iCs/>
          <w:sz w:val="22"/>
          <w:szCs w:val="22"/>
        </w:rPr>
        <w:t>Insurance Contracts</w:t>
      </w:r>
      <w:r w:rsidRPr="003037DC">
        <w:rPr>
          <w:rFonts w:ascii="Arial" w:hAnsi="Arial" w:cs="Arial"/>
          <w:sz w:val="22"/>
          <w:szCs w:val="22"/>
        </w:rPr>
        <w:t xml:space="preserve">, </w:t>
      </w:r>
      <w:r w:rsidR="00D32E68">
        <w:rPr>
          <w:rFonts w:ascii="Arial" w:hAnsi="Arial" w:cs="Arial"/>
          <w:sz w:val="22"/>
          <w:szCs w:val="22"/>
        </w:rPr>
        <w:t xml:space="preserve">IFRS </w:t>
      </w:r>
      <w:r w:rsidRPr="003037DC">
        <w:rPr>
          <w:rFonts w:ascii="Arial" w:hAnsi="Arial" w:cs="Arial"/>
          <w:sz w:val="22"/>
          <w:szCs w:val="22"/>
        </w:rPr>
        <w:t>18</w:t>
      </w:r>
      <w:r w:rsidR="00D32E68">
        <w:rPr>
          <w:rFonts w:ascii="Arial" w:hAnsi="Arial" w:cs="Arial"/>
          <w:sz w:val="22"/>
          <w:szCs w:val="22"/>
        </w:rPr>
        <w:t xml:space="preserve"> </w:t>
      </w:r>
      <w:r w:rsidR="00284E2E" w:rsidRPr="00136EA6">
        <w:rPr>
          <w:rFonts w:ascii="Arial" w:hAnsi="Arial" w:cs="Arial"/>
          <w:i/>
          <w:iCs/>
          <w:sz w:val="22"/>
          <w:szCs w:val="22"/>
        </w:rPr>
        <w:t xml:space="preserve">Presentation and </w:t>
      </w:r>
      <w:r w:rsidR="00284E2E" w:rsidRPr="00136EA6">
        <w:rPr>
          <w:rFonts w:ascii="Arial" w:hAnsi="Arial" w:cs="Arial"/>
          <w:i/>
          <w:iCs/>
          <w:sz w:val="22"/>
          <w:szCs w:val="22"/>
        </w:rPr>
        <w:lastRenderedPageBreak/>
        <w:t>Disclosure in Financial Statements</w:t>
      </w:r>
      <w:r w:rsidRPr="003037DC">
        <w:rPr>
          <w:rFonts w:ascii="Arial" w:hAnsi="Arial" w:cs="Arial"/>
          <w:sz w:val="22"/>
          <w:szCs w:val="22"/>
        </w:rPr>
        <w:t xml:space="preserve"> and </w:t>
      </w:r>
      <w:r w:rsidR="00284E2E">
        <w:rPr>
          <w:rFonts w:ascii="Arial" w:hAnsi="Arial" w:cs="Arial"/>
          <w:sz w:val="22"/>
          <w:szCs w:val="22"/>
        </w:rPr>
        <w:t xml:space="preserve">IFRS </w:t>
      </w:r>
      <w:r w:rsidRPr="003037DC">
        <w:rPr>
          <w:rFonts w:ascii="Arial" w:hAnsi="Arial" w:cs="Arial"/>
          <w:sz w:val="22"/>
          <w:szCs w:val="22"/>
        </w:rPr>
        <w:t>19</w:t>
      </w:r>
      <w:r w:rsidR="00C426AE">
        <w:rPr>
          <w:rFonts w:ascii="Arial" w:hAnsi="Arial" w:cs="Arial"/>
          <w:sz w:val="22"/>
          <w:szCs w:val="22"/>
        </w:rPr>
        <w:t xml:space="preserve"> </w:t>
      </w:r>
      <w:r w:rsidR="00C426AE" w:rsidRPr="00136EA6">
        <w:rPr>
          <w:rFonts w:ascii="Arial" w:hAnsi="Arial" w:cs="Arial"/>
          <w:i/>
          <w:iCs/>
          <w:sz w:val="22"/>
          <w:szCs w:val="22"/>
        </w:rPr>
        <w:t>Subsidiaries without Public Accountability: Disclosures</w:t>
      </w:r>
      <w:r w:rsidRPr="003037DC">
        <w:rPr>
          <w:rFonts w:ascii="Arial" w:hAnsi="Arial" w:cs="Arial"/>
          <w:sz w:val="22"/>
          <w:szCs w:val="22"/>
        </w:rPr>
        <w:t>)</w:t>
      </w:r>
    </w:p>
    <w:p w14:paraId="5E111891" w14:textId="7AA817A5" w:rsidR="000F27FF" w:rsidRPr="003037DC" w:rsidRDefault="000F27FF" w:rsidP="00345355">
      <w:pPr>
        <w:pStyle w:val="ListParagraph"/>
        <w:numPr>
          <w:ilvl w:val="1"/>
          <w:numId w:val="5"/>
        </w:numPr>
        <w:rPr>
          <w:rFonts w:ascii="Arial" w:hAnsi="Arial" w:cs="Arial"/>
          <w:sz w:val="22"/>
          <w:szCs w:val="22"/>
        </w:rPr>
      </w:pPr>
      <w:r w:rsidRPr="003037DC">
        <w:rPr>
          <w:rFonts w:ascii="Arial" w:hAnsi="Arial" w:cs="Arial"/>
          <w:sz w:val="22"/>
          <w:szCs w:val="22"/>
        </w:rPr>
        <w:t xml:space="preserve">Impact of convergence in requirements </w:t>
      </w:r>
      <w:r w:rsidR="00D54BBD" w:rsidRPr="003037DC">
        <w:rPr>
          <w:rFonts w:ascii="Arial" w:hAnsi="Arial" w:cs="Arial"/>
          <w:sz w:val="22"/>
          <w:szCs w:val="22"/>
        </w:rPr>
        <w:t>of</w:t>
      </w:r>
      <w:r w:rsidRPr="003037DC">
        <w:rPr>
          <w:rFonts w:ascii="Arial" w:hAnsi="Arial" w:cs="Arial"/>
          <w:sz w:val="22"/>
          <w:szCs w:val="22"/>
        </w:rPr>
        <w:t xml:space="preserve"> accounting standards across countries including </w:t>
      </w:r>
      <w:r w:rsidR="00D54BBD" w:rsidRPr="003037DC">
        <w:rPr>
          <w:rFonts w:ascii="Arial" w:hAnsi="Arial" w:cs="Arial"/>
          <w:sz w:val="22"/>
          <w:szCs w:val="22"/>
        </w:rPr>
        <w:t xml:space="preserve">the </w:t>
      </w:r>
      <w:r w:rsidRPr="003037DC">
        <w:rPr>
          <w:rFonts w:ascii="Arial" w:hAnsi="Arial" w:cs="Arial"/>
          <w:sz w:val="22"/>
          <w:szCs w:val="22"/>
        </w:rPr>
        <w:t>U</w:t>
      </w:r>
      <w:r w:rsidR="00D54BBD" w:rsidRPr="003037DC">
        <w:rPr>
          <w:rFonts w:ascii="Arial" w:hAnsi="Arial" w:cs="Arial"/>
          <w:sz w:val="22"/>
          <w:szCs w:val="22"/>
        </w:rPr>
        <w:t xml:space="preserve">nited </w:t>
      </w:r>
      <w:r w:rsidRPr="003037DC">
        <w:rPr>
          <w:rFonts w:ascii="Arial" w:hAnsi="Arial" w:cs="Arial"/>
          <w:sz w:val="22"/>
          <w:szCs w:val="22"/>
        </w:rPr>
        <w:t>S</w:t>
      </w:r>
      <w:r w:rsidR="00D54BBD" w:rsidRPr="003037DC">
        <w:rPr>
          <w:rFonts w:ascii="Arial" w:hAnsi="Arial" w:cs="Arial"/>
          <w:sz w:val="22"/>
          <w:szCs w:val="22"/>
        </w:rPr>
        <w:t>tates</w:t>
      </w:r>
      <w:r w:rsidRPr="003037DC">
        <w:rPr>
          <w:rFonts w:ascii="Arial" w:hAnsi="Arial" w:cs="Arial"/>
          <w:sz w:val="22"/>
          <w:szCs w:val="22"/>
        </w:rPr>
        <w:t xml:space="preserve">, </w:t>
      </w:r>
      <w:r w:rsidR="0039148F" w:rsidRPr="003037DC">
        <w:rPr>
          <w:rFonts w:ascii="Arial" w:hAnsi="Arial" w:cs="Arial"/>
          <w:sz w:val="22"/>
          <w:szCs w:val="22"/>
        </w:rPr>
        <w:t xml:space="preserve">Japan, </w:t>
      </w:r>
      <w:r w:rsidRPr="003037DC">
        <w:rPr>
          <w:rFonts w:ascii="Arial" w:hAnsi="Arial" w:cs="Arial"/>
          <w:sz w:val="22"/>
          <w:szCs w:val="22"/>
        </w:rPr>
        <w:t>China, India and other jurisdictions</w:t>
      </w:r>
    </w:p>
    <w:p w14:paraId="466438D3" w14:textId="060421A7" w:rsidR="00345355" w:rsidRPr="003037DC" w:rsidRDefault="000F27FF" w:rsidP="000F27FF">
      <w:pPr>
        <w:pStyle w:val="ListParagraph"/>
        <w:numPr>
          <w:ilvl w:val="1"/>
          <w:numId w:val="5"/>
        </w:numPr>
        <w:rPr>
          <w:rFonts w:ascii="Arial" w:hAnsi="Arial" w:cs="Arial"/>
          <w:sz w:val="22"/>
          <w:szCs w:val="22"/>
        </w:rPr>
      </w:pPr>
      <w:r w:rsidRPr="003037DC">
        <w:rPr>
          <w:rFonts w:ascii="Arial" w:hAnsi="Arial" w:cs="Arial"/>
          <w:sz w:val="22"/>
          <w:szCs w:val="22"/>
        </w:rPr>
        <w:t>Impact of new technologies and m</w:t>
      </w:r>
      <w:r w:rsidR="00345355" w:rsidRPr="003037DC">
        <w:rPr>
          <w:rFonts w:ascii="Arial" w:hAnsi="Arial" w:cs="Arial"/>
          <w:sz w:val="22"/>
          <w:szCs w:val="22"/>
        </w:rPr>
        <w:t>ore digital consumption of accounting information</w:t>
      </w:r>
    </w:p>
    <w:p w14:paraId="7D2EF378" w14:textId="351B24E9" w:rsidR="000D3E58" w:rsidRPr="003037DC" w:rsidRDefault="000D3E58" w:rsidP="00345355">
      <w:pPr>
        <w:pStyle w:val="ListParagraph"/>
        <w:numPr>
          <w:ilvl w:val="1"/>
          <w:numId w:val="5"/>
        </w:numPr>
        <w:rPr>
          <w:rFonts w:ascii="Arial" w:hAnsi="Arial" w:cs="Arial"/>
          <w:sz w:val="22"/>
          <w:szCs w:val="22"/>
        </w:rPr>
      </w:pPr>
      <w:r w:rsidRPr="003037DC">
        <w:rPr>
          <w:rFonts w:ascii="Arial" w:hAnsi="Arial" w:cs="Arial"/>
          <w:sz w:val="22"/>
          <w:szCs w:val="22"/>
        </w:rPr>
        <w:t xml:space="preserve">Use of complementary data alongside financial </w:t>
      </w:r>
      <w:r w:rsidR="00BB50C9" w:rsidRPr="003037DC">
        <w:rPr>
          <w:rFonts w:ascii="Arial" w:hAnsi="Arial" w:cs="Arial"/>
          <w:sz w:val="22"/>
          <w:szCs w:val="22"/>
        </w:rPr>
        <w:t xml:space="preserve">data </w:t>
      </w:r>
    </w:p>
    <w:p w14:paraId="3A32B99E" w14:textId="3C30D229" w:rsidR="000D3E58" w:rsidRPr="003037DC" w:rsidRDefault="000D3E58" w:rsidP="009B2C13">
      <w:pPr>
        <w:pStyle w:val="ListParagraph"/>
        <w:ind w:left="1865"/>
        <w:rPr>
          <w:rFonts w:ascii="Arial" w:hAnsi="Arial" w:cs="Arial"/>
          <w:sz w:val="22"/>
          <w:szCs w:val="22"/>
        </w:rPr>
      </w:pPr>
    </w:p>
    <w:p w14:paraId="70297AFE" w14:textId="77777777" w:rsidR="00345355" w:rsidRPr="003037DC" w:rsidRDefault="00345355" w:rsidP="007B6E87">
      <w:pPr>
        <w:ind w:left="425"/>
        <w:rPr>
          <w:rFonts w:ascii="Arial" w:hAnsi="Arial" w:cs="Arial"/>
          <w:sz w:val="22"/>
          <w:szCs w:val="22"/>
        </w:rPr>
      </w:pPr>
    </w:p>
    <w:p w14:paraId="30894994" w14:textId="7083F844" w:rsidR="00745198" w:rsidRPr="003037DC" w:rsidRDefault="003C1D24" w:rsidP="00136EA6">
      <w:pPr>
        <w:rPr>
          <w:rFonts w:ascii="Arial" w:hAnsi="Arial" w:cs="Arial"/>
          <w:sz w:val="22"/>
          <w:szCs w:val="22"/>
        </w:rPr>
      </w:pPr>
      <w:r>
        <w:rPr>
          <w:rFonts w:ascii="Arial" w:hAnsi="Arial" w:cs="Arial"/>
          <w:sz w:val="22"/>
          <w:szCs w:val="22"/>
        </w:rPr>
        <w:t xml:space="preserve">See </w:t>
      </w:r>
      <w:hyperlink r:id="rId20" w:history="1">
        <w:r w:rsidRPr="007D4E41">
          <w:rPr>
            <w:rStyle w:val="Hyperlink"/>
            <w:color w:val="auto"/>
          </w:rPr>
          <w:t>IFRS Accounting Standards Navigator</w:t>
        </w:r>
      </w:hyperlink>
      <w:r w:rsidRPr="007D4E41">
        <w:t xml:space="preserve"> </w:t>
      </w:r>
    </w:p>
    <w:p w14:paraId="5A71E13B" w14:textId="77777777" w:rsidR="000D3E58" w:rsidRPr="003037DC" w:rsidRDefault="000D3E58" w:rsidP="007B6E87">
      <w:pPr>
        <w:ind w:left="425"/>
        <w:rPr>
          <w:rFonts w:ascii="Arial" w:hAnsi="Arial" w:cs="Arial"/>
          <w:color w:val="0000FF"/>
          <w:sz w:val="22"/>
          <w:szCs w:val="22"/>
        </w:rPr>
      </w:pPr>
    </w:p>
    <w:p w14:paraId="5B1ECD59" w14:textId="0245E39F" w:rsidR="00957194" w:rsidRDefault="00253F35" w:rsidP="00E17DC9">
      <w:pPr>
        <w:jc w:val="both"/>
        <w:rPr>
          <w:rFonts w:ascii="Arial" w:eastAsia="Times New Roman" w:hAnsi="Arial" w:cs="Arial"/>
          <w:sz w:val="22"/>
          <w:szCs w:val="22"/>
          <w:lang w:bidi="en-US"/>
        </w:rPr>
      </w:pPr>
      <w:bookmarkStart w:id="0" w:name="_Hlk152785360"/>
      <w:r w:rsidRPr="005D31C0">
        <w:rPr>
          <w:rFonts w:ascii="Arial" w:eastAsia="Times New Roman" w:hAnsi="Arial" w:cs="Arial"/>
          <w:sz w:val="22"/>
          <w:szCs w:val="22"/>
          <w:lang w:bidi="en-US"/>
        </w:rPr>
        <w:t xml:space="preserve">All manuscripts should be prepared in accordance with </w:t>
      </w:r>
      <w:r w:rsidRPr="005D31C0">
        <w:rPr>
          <w:rFonts w:ascii="Arial" w:eastAsia="Times New Roman" w:hAnsi="Arial" w:cs="Arial"/>
          <w:i/>
          <w:iCs/>
          <w:sz w:val="22"/>
          <w:szCs w:val="22"/>
          <w:lang w:bidi="en-US"/>
        </w:rPr>
        <w:t>Accounting Horizons</w:t>
      </w:r>
      <w:r w:rsidRPr="005D31C0">
        <w:rPr>
          <w:rFonts w:ascii="Arial" w:eastAsia="Times New Roman" w:hAnsi="Arial" w:cs="Arial"/>
          <w:sz w:val="22"/>
          <w:szCs w:val="22"/>
          <w:lang w:bidi="en-US"/>
        </w:rPr>
        <w:t xml:space="preserve">’ policies and manuscript preparation guidelines. </w:t>
      </w:r>
      <w:r w:rsidR="00F772BB" w:rsidRPr="005D31C0">
        <w:rPr>
          <w:rFonts w:ascii="Arial" w:eastAsia="Times New Roman" w:hAnsi="Arial" w:cs="Arial"/>
          <w:sz w:val="22"/>
          <w:szCs w:val="22"/>
          <w:lang w:bidi="en-US"/>
        </w:rPr>
        <w:t xml:space="preserve">Please submit your </w:t>
      </w:r>
      <w:r w:rsidR="00A90596" w:rsidRPr="005D31C0">
        <w:rPr>
          <w:rFonts w:ascii="Arial" w:eastAsia="Times New Roman" w:hAnsi="Arial" w:cs="Arial"/>
          <w:sz w:val="22"/>
          <w:szCs w:val="22"/>
          <w:lang w:bidi="en-US"/>
        </w:rPr>
        <w:t xml:space="preserve">manuscripts </w:t>
      </w:r>
      <w:r w:rsidR="00A90596" w:rsidRPr="005D31C0">
        <w:rPr>
          <w:rFonts w:ascii="Arial" w:hAnsi="Arial" w:cs="Arial"/>
          <w:sz w:val="22"/>
          <w:szCs w:val="22"/>
        </w:rPr>
        <w:t xml:space="preserve">through the </w:t>
      </w:r>
      <w:r w:rsidR="00A90596" w:rsidRPr="005D31C0">
        <w:rPr>
          <w:rFonts w:ascii="Arial" w:hAnsi="Arial" w:cs="Arial"/>
          <w:i/>
          <w:iCs/>
          <w:sz w:val="22"/>
          <w:szCs w:val="22"/>
        </w:rPr>
        <w:t>Accounting Horizon</w:t>
      </w:r>
      <w:r w:rsidR="00A90596" w:rsidRPr="005D31C0">
        <w:rPr>
          <w:rFonts w:ascii="Arial" w:hAnsi="Arial" w:cs="Arial"/>
          <w:sz w:val="22"/>
          <w:szCs w:val="22"/>
        </w:rPr>
        <w:t>’s homepage (</w:t>
      </w:r>
      <w:hyperlink r:id="rId21" w:history="1">
        <w:r w:rsidR="004C617F" w:rsidRPr="005D31C0">
          <w:rPr>
            <w:rStyle w:val="Hyperlink"/>
            <w:rFonts w:ascii="Arial" w:hAnsi="Arial" w:cs="Arial"/>
            <w:color w:val="215E99" w:themeColor="text2" w:themeTint="BF"/>
            <w:sz w:val="22"/>
            <w:szCs w:val="22"/>
          </w:rPr>
          <w:t>https://aaahq.org/Research/Journals/Accounting-Horizons</w:t>
        </w:r>
      </w:hyperlink>
      <w:r w:rsidR="00A90596" w:rsidRPr="005D31C0">
        <w:rPr>
          <w:rFonts w:ascii="Arial" w:hAnsi="Arial" w:cs="Arial"/>
          <w:sz w:val="22"/>
          <w:szCs w:val="22"/>
        </w:rPr>
        <w:t xml:space="preserve">) </w:t>
      </w:r>
      <w:r w:rsidR="00F772BB" w:rsidRPr="005D31C0">
        <w:rPr>
          <w:rFonts w:ascii="Arial" w:hAnsi="Arial" w:cs="Arial"/>
          <w:sz w:val="22"/>
          <w:szCs w:val="22"/>
        </w:rPr>
        <w:t xml:space="preserve">by </w:t>
      </w:r>
      <w:r w:rsidR="00982F88" w:rsidRPr="005D31C0">
        <w:rPr>
          <w:rFonts w:ascii="Arial" w:hAnsi="Arial" w:cs="Arial"/>
          <w:b/>
          <w:bCs/>
          <w:sz w:val="22"/>
          <w:szCs w:val="22"/>
        </w:rPr>
        <w:t>31</w:t>
      </w:r>
      <w:r w:rsidR="00982F88" w:rsidRPr="005D31C0">
        <w:rPr>
          <w:rFonts w:ascii="Arial" w:hAnsi="Arial" w:cs="Arial"/>
          <w:sz w:val="22"/>
          <w:szCs w:val="22"/>
        </w:rPr>
        <w:t xml:space="preserve"> </w:t>
      </w:r>
      <w:r w:rsidR="000A492E" w:rsidRPr="005D31C0">
        <w:rPr>
          <w:rFonts w:ascii="Arial" w:hAnsi="Arial" w:cs="Arial"/>
          <w:b/>
          <w:bCs/>
          <w:sz w:val="22"/>
          <w:szCs w:val="22"/>
        </w:rPr>
        <w:t>March</w:t>
      </w:r>
      <w:r w:rsidR="00F772BB" w:rsidRPr="005D31C0">
        <w:rPr>
          <w:rFonts w:ascii="Arial" w:hAnsi="Arial" w:cs="Arial"/>
          <w:b/>
          <w:bCs/>
          <w:sz w:val="22"/>
          <w:szCs w:val="22"/>
        </w:rPr>
        <w:t xml:space="preserve"> 2025</w:t>
      </w:r>
      <w:r w:rsidR="00F772BB" w:rsidRPr="005D31C0">
        <w:rPr>
          <w:rFonts w:ascii="Arial" w:hAnsi="Arial" w:cs="Arial"/>
          <w:sz w:val="22"/>
          <w:szCs w:val="22"/>
        </w:rPr>
        <w:t>.</w:t>
      </w:r>
      <w:r w:rsidR="00F772BB" w:rsidRPr="005D31C0">
        <w:rPr>
          <w:rFonts w:ascii="Arial" w:hAnsi="Arial" w:cs="Arial"/>
          <w:b/>
          <w:bCs/>
          <w:sz w:val="22"/>
          <w:szCs w:val="22"/>
        </w:rPr>
        <w:t xml:space="preserve"> </w:t>
      </w:r>
      <w:r w:rsidR="00F772BB" w:rsidRPr="005D31C0">
        <w:rPr>
          <w:rFonts w:ascii="Arial" w:eastAsia="Calibri" w:hAnsi="Arial" w:cs="Arial"/>
          <w:sz w:val="22"/>
          <w:szCs w:val="22"/>
        </w:rPr>
        <w:t>When submitting</w:t>
      </w:r>
      <w:r w:rsidR="00F772BB" w:rsidRPr="003037DC">
        <w:rPr>
          <w:rFonts w:ascii="Arial" w:eastAsia="Calibri" w:hAnsi="Arial" w:cs="Arial"/>
          <w:sz w:val="22"/>
          <w:szCs w:val="22"/>
        </w:rPr>
        <w:t xml:space="preserve"> your manuscript, use the “Article” article type and </w:t>
      </w:r>
      <w:r w:rsidR="00F772BB" w:rsidRPr="003037DC">
        <w:rPr>
          <w:rFonts w:ascii="Arial" w:eastAsia="Calibri" w:hAnsi="Arial" w:cs="Arial"/>
          <w:b/>
          <w:bCs/>
          <w:sz w:val="22"/>
          <w:szCs w:val="22"/>
        </w:rPr>
        <w:t xml:space="preserve">indicate in your cover letter that </w:t>
      </w:r>
      <w:r w:rsidR="00E259CC" w:rsidRPr="003037DC">
        <w:rPr>
          <w:rFonts w:ascii="Arial" w:eastAsia="Calibri" w:hAnsi="Arial" w:cs="Arial"/>
          <w:b/>
          <w:bCs/>
          <w:sz w:val="22"/>
          <w:szCs w:val="22"/>
        </w:rPr>
        <w:t>your</w:t>
      </w:r>
      <w:r w:rsidR="00F772BB" w:rsidRPr="003037DC">
        <w:rPr>
          <w:rFonts w:ascii="Arial" w:eastAsia="Calibri" w:hAnsi="Arial" w:cs="Arial"/>
          <w:b/>
          <w:bCs/>
          <w:sz w:val="22"/>
          <w:szCs w:val="22"/>
        </w:rPr>
        <w:t xml:space="preserve"> submission is intended for the 2025 IASB/</w:t>
      </w:r>
      <w:r w:rsidR="00F772BB" w:rsidRPr="003037DC">
        <w:rPr>
          <w:rFonts w:ascii="Arial" w:eastAsia="Calibri" w:hAnsi="Arial" w:cs="Arial"/>
          <w:b/>
          <w:bCs/>
          <w:i/>
          <w:iCs/>
          <w:sz w:val="22"/>
          <w:szCs w:val="22"/>
        </w:rPr>
        <w:t>Accounting Horizons</w:t>
      </w:r>
      <w:r w:rsidR="00F772BB" w:rsidRPr="003037DC">
        <w:rPr>
          <w:rFonts w:ascii="Arial" w:eastAsia="Calibri" w:hAnsi="Arial" w:cs="Arial"/>
          <w:b/>
          <w:bCs/>
          <w:sz w:val="22"/>
          <w:szCs w:val="22"/>
        </w:rPr>
        <w:t xml:space="preserve"> Research Forum. </w:t>
      </w:r>
      <w:r w:rsidR="00B938F2" w:rsidRPr="00B938F2">
        <w:rPr>
          <w:rFonts w:ascii="Arial" w:hAnsi="Arial" w:cs="Arial"/>
          <w:sz w:val="22"/>
          <w:szCs w:val="22"/>
        </w:rPr>
        <w:t>The IASB will have access to all papers submitted to the research forum so that the papers may be used for IASB research and referenced in IASB publications.</w:t>
      </w:r>
      <w:r w:rsidR="00B938F2" w:rsidRPr="00C8429B">
        <w:t xml:space="preserve"> </w:t>
      </w:r>
      <w:r w:rsidR="00F772BB" w:rsidRPr="003037DC">
        <w:rPr>
          <w:rFonts w:ascii="Arial" w:hAnsi="Arial" w:cs="Arial"/>
          <w:sz w:val="22"/>
          <w:szCs w:val="22"/>
          <w:lang w:val="en-GB"/>
        </w:rPr>
        <w:t>A</w:t>
      </w:r>
      <w:r w:rsidR="0085392D" w:rsidRPr="003037DC">
        <w:rPr>
          <w:rFonts w:ascii="Arial" w:hAnsi="Arial" w:cs="Arial"/>
          <w:sz w:val="22"/>
          <w:szCs w:val="22"/>
          <w:lang w:val="en-GB"/>
        </w:rPr>
        <w:t xml:space="preserve">ll research methods are encouraged, including analytical, archival, experimental, survey, field study, and qualitative methods. </w:t>
      </w:r>
      <w:r w:rsidR="00957194" w:rsidRPr="003037DC">
        <w:rPr>
          <w:rFonts w:ascii="Arial" w:eastAsia="Times New Roman" w:hAnsi="Arial" w:cs="Arial"/>
          <w:sz w:val="22"/>
          <w:szCs w:val="22"/>
          <w:lang w:bidi="en-US"/>
        </w:rPr>
        <w:t xml:space="preserve">We welcome descriptive studies of new phenomena or emerging issues; first evidence after new regulations; or hypothesis testing on a single but fundamental research question. Manuscripts should be written in clear, concise, and plain language that is comprehensible to a broad audience. </w:t>
      </w:r>
      <w:r w:rsidR="00E259CC" w:rsidRPr="003037DC">
        <w:rPr>
          <w:rFonts w:ascii="Arial" w:eastAsia="Times New Roman" w:hAnsi="Arial" w:cs="Arial"/>
          <w:sz w:val="22"/>
          <w:szCs w:val="22"/>
          <w:lang w:bidi="en-US"/>
        </w:rPr>
        <w:t>You</w:t>
      </w:r>
      <w:r w:rsidR="00957194" w:rsidRPr="003037DC">
        <w:rPr>
          <w:rFonts w:ascii="Arial" w:eastAsia="Times New Roman" w:hAnsi="Arial" w:cs="Arial"/>
          <w:sz w:val="22"/>
          <w:szCs w:val="22"/>
          <w:lang w:bidi="en-US"/>
        </w:rPr>
        <w:t xml:space="preserve"> are encouraged to use figures to accompany a minimum number of necessary tables. </w:t>
      </w:r>
      <w:r w:rsidR="00FA0EC8" w:rsidRPr="003037DC">
        <w:rPr>
          <w:rFonts w:ascii="Arial" w:eastAsia="Times New Roman" w:hAnsi="Arial" w:cs="Arial"/>
          <w:sz w:val="22"/>
          <w:szCs w:val="22"/>
          <w:lang w:bidi="en-US"/>
        </w:rPr>
        <w:t>A</w:t>
      </w:r>
      <w:r w:rsidR="00957194" w:rsidRPr="003037DC">
        <w:rPr>
          <w:rFonts w:ascii="Arial" w:eastAsia="Times New Roman" w:hAnsi="Arial" w:cs="Arial"/>
          <w:sz w:val="22"/>
          <w:szCs w:val="22"/>
          <w:lang w:bidi="en-US"/>
        </w:rPr>
        <w:t xml:space="preserve"> submission should be </w:t>
      </w:r>
      <w:bookmarkStart w:id="1" w:name="_Hlk149725460"/>
      <w:r w:rsidR="00957194" w:rsidRPr="003037DC">
        <w:rPr>
          <w:rFonts w:ascii="Arial" w:eastAsia="Times New Roman" w:hAnsi="Arial" w:cs="Arial"/>
          <w:sz w:val="22"/>
          <w:szCs w:val="22"/>
          <w:lang w:bidi="en-US"/>
        </w:rPr>
        <w:t>within 25 pages of text (double-spaced, 12-point font, and normal margins) and 40 pages in total.</w:t>
      </w:r>
      <w:bookmarkEnd w:id="1"/>
    </w:p>
    <w:p w14:paraId="19041416" w14:textId="77777777" w:rsidR="00253F35" w:rsidRPr="003037DC" w:rsidRDefault="00253F35" w:rsidP="00E17DC9">
      <w:pPr>
        <w:jc w:val="both"/>
        <w:rPr>
          <w:rFonts w:ascii="Arial" w:hAnsi="Arial" w:cs="Arial"/>
          <w:sz w:val="22"/>
          <w:szCs w:val="22"/>
          <w:lang w:val="en-GB"/>
        </w:rPr>
      </w:pPr>
    </w:p>
    <w:p w14:paraId="2323901F" w14:textId="7708B01A" w:rsidR="00A90596" w:rsidRPr="003037DC" w:rsidRDefault="00957194" w:rsidP="00E259CC">
      <w:pPr>
        <w:jc w:val="both"/>
        <w:rPr>
          <w:rFonts w:ascii="Arial" w:hAnsi="Arial" w:cs="Arial"/>
          <w:sz w:val="22"/>
          <w:szCs w:val="22"/>
        </w:rPr>
      </w:pPr>
      <w:r w:rsidRPr="003037DC">
        <w:rPr>
          <w:rFonts w:ascii="Arial" w:hAnsi="Arial" w:cs="Arial"/>
          <w:sz w:val="22"/>
          <w:szCs w:val="22"/>
          <w:lang w:val="en-GB"/>
        </w:rPr>
        <w:t xml:space="preserve">The </w:t>
      </w:r>
      <w:r w:rsidRPr="003037DC">
        <w:rPr>
          <w:rFonts w:ascii="Arial" w:hAnsi="Arial" w:cs="Arial"/>
          <w:sz w:val="22"/>
          <w:szCs w:val="22"/>
        </w:rPr>
        <w:t xml:space="preserve">editorial team of </w:t>
      </w:r>
      <w:r w:rsidR="00C328F6" w:rsidRPr="003037DC">
        <w:rPr>
          <w:rFonts w:ascii="Arial" w:hAnsi="Arial" w:cs="Arial"/>
          <w:i/>
          <w:iCs/>
          <w:sz w:val="22"/>
          <w:szCs w:val="22"/>
        </w:rPr>
        <w:t>Accounting Horizons</w:t>
      </w:r>
      <w:r w:rsidR="00C328F6" w:rsidRPr="003037DC">
        <w:rPr>
          <w:rFonts w:ascii="Arial" w:hAnsi="Arial" w:cs="Arial"/>
          <w:sz w:val="22"/>
          <w:szCs w:val="22"/>
        </w:rPr>
        <w:t xml:space="preserve"> will conduct a standard first-round review to identify papers that have the potential </w:t>
      </w:r>
      <w:r w:rsidR="008879D1" w:rsidRPr="003037DC">
        <w:rPr>
          <w:rFonts w:ascii="Arial" w:hAnsi="Arial" w:cs="Arial"/>
          <w:sz w:val="22"/>
          <w:szCs w:val="22"/>
        </w:rPr>
        <w:t xml:space="preserve">to meet </w:t>
      </w:r>
      <w:r w:rsidR="00C328F6" w:rsidRPr="003037DC">
        <w:rPr>
          <w:rFonts w:ascii="Arial" w:hAnsi="Arial" w:cs="Arial"/>
          <w:sz w:val="22"/>
          <w:szCs w:val="22"/>
        </w:rPr>
        <w:t xml:space="preserve">the journal’s publication standards. The IASB will review selected papers to assess relevance to </w:t>
      </w:r>
      <w:r w:rsidRPr="003037DC">
        <w:rPr>
          <w:rFonts w:ascii="Arial" w:hAnsi="Arial" w:cs="Arial"/>
          <w:sz w:val="22"/>
          <w:szCs w:val="22"/>
        </w:rPr>
        <w:t xml:space="preserve">the </w:t>
      </w:r>
      <w:r w:rsidR="00C328F6" w:rsidRPr="003037DC">
        <w:rPr>
          <w:rFonts w:ascii="Arial" w:hAnsi="Arial" w:cs="Arial"/>
          <w:sz w:val="22"/>
          <w:szCs w:val="22"/>
        </w:rPr>
        <w:t xml:space="preserve">themes of the </w:t>
      </w:r>
      <w:r w:rsidRPr="003037DC">
        <w:rPr>
          <w:rFonts w:ascii="Arial" w:hAnsi="Arial" w:cs="Arial"/>
          <w:sz w:val="22"/>
          <w:szCs w:val="22"/>
        </w:rPr>
        <w:t>f</w:t>
      </w:r>
      <w:r w:rsidR="00C328F6" w:rsidRPr="003037DC">
        <w:rPr>
          <w:rFonts w:ascii="Arial" w:hAnsi="Arial" w:cs="Arial"/>
          <w:sz w:val="22"/>
          <w:szCs w:val="22"/>
        </w:rPr>
        <w:t>orum</w:t>
      </w:r>
      <w:r w:rsidR="00FA0EC8" w:rsidRPr="003037DC">
        <w:rPr>
          <w:rFonts w:ascii="Arial" w:hAnsi="Arial" w:cs="Arial"/>
          <w:sz w:val="22"/>
          <w:szCs w:val="22"/>
        </w:rPr>
        <w:t xml:space="preserve">. </w:t>
      </w:r>
      <w:r w:rsidR="00E259CC" w:rsidRPr="003037DC">
        <w:rPr>
          <w:rFonts w:ascii="Arial" w:hAnsi="Arial" w:cs="Arial"/>
          <w:sz w:val="22"/>
          <w:szCs w:val="22"/>
        </w:rPr>
        <w:t>Paper</w:t>
      </w:r>
      <w:r w:rsidR="009545E6" w:rsidRPr="003037DC">
        <w:rPr>
          <w:rFonts w:ascii="Arial" w:hAnsi="Arial" w:cs="Arial"/>
          <w:sz w:val="22"/>
          <w:szCs w:val="22"/>
        </w:rPr>
        <w:t>s</w:t>
      </w:r>
      <w:r w:rsidR="00E259CC" w:rsidRPr="003037DC">
        <w:rPr>
          <w:rFonts w:ascii="Arial" w:hAnsi="Arial" w:cs="Arial"/>
          <w:sz w:val="22"/>
          <w:szCs w:val="22"/>
        </w:rPr>
        <w:t xml:space="preserve"> select</w:t>
      </w:r>
      <w:r w:rsidR="009545E6" w:rsidRPr="003037DC">
        <w:rPr>
          <w:rFonts w:ascii="Arial" w:hAnsi="Arial" w:cs="Arial"/>
          <w:sz w:val="22"/>
          <w:szCs w:val="22"/>
        </w:rPr>
        <w:t xml:space="preserve">ed </w:t>
      </w:r>
      <w:r w:rsidR="00C328F6" w:rsidRPr="003037DC">
        <w:rPr>
          <w:rFonts w:ascii="Arial" w:hAnsi="Arial" w:cs="Arial"/>
          <w:sz w:val="22"/>
          <w:szCs w:val="22"/>
        </w:rPr>
        <w:t xml:space="preserve">for </w:t>
      </w:r>
      <w:r w:rsidR="00E259CC" w:rsidRPr="003037DC">
        <w:rPr>
          <w:rFonts w:ascii="Arial" w:hAnsi="Arial" w:cs="Arial"/>
          <w:sz w:val="22"/>
          <w:szCs w:val="22"/>
        </w:rPr>
        <w:t xml:space="preserve">presentation at </w:t>
      </w:r>
      <w:r w:rsidR="00C328F6" w:rsidRPr="003037DC">
        <w:rPr>
          <w:rFonts w:ascii="Arial" w:hAnsi="Arial" w:cs="Arial"/>
          <w:sz w:val="22"/>
          <w:szCs w:val="22"/>
        </w:rPr>
        <w:t xml:space="preserve">the forum will be </w:t>
      </w:r>
      <w:r w:rsidR="00E259CC" w:rsidRPr="003037DC">
        <w:rPr>
          <w:rFonts w:ascii="Arial" w:hAnsi="Arial" w:cs="Arial"/>
          <w:sz w:val="22"/>
          <w:szCs w:val="22"/>
        </w:rPr>
        <w:t xml:space="preserve">the </w:t>
      </w:r>
      <w:r w:rsidR="00C328F6" w:rsidRPr="003037DC">
        <w:rPr>
          <w:rFonts w:ascii="Arial" w:hAnsi="Arial" w:cs="Arial"/>
          <w:sz w:val="22"/>
          <w:szCs w:val="22"/>
        </w:rPr>
        <w:t>joint decision</w:t>
      </w:r>
      <w:r w:rsidR="00E259CC" w:rsidRPr="003037DC">
        <w:rPr>
          <w:rFonts w:ascii="Arial" w:hAnsi="Arial" w:cs="Arial"/>
          <w:sz w:val="22"/>
          <w:szCs w:val="22"/>
        </w:rPr>
        <w:t>s</w:t>
      </w:r>
      <w:r w:rsidR="00C328F6" w:rsidRPr="003037DC">
        <w:rPr>
          <w:rFonts w:ascii="Arial" w:hAnsi="Arial" w:cs="Arial"/>
          <w:sz w:val="22"/>
          <w:szCs w:val="22"/>
        </w:rPr>
        <w:t xml:space="preserve"> of </w:t>
      </w:r>
      <w:r w:rsidR="00C328F6" w:rsidRPr="003037DC">
        <w:rPr>
          <w:rFonts w:ascii="Arial" w:hAnsi="Arial" w:cs="Arial"/>
          <w:i/>
          <w:iCs/>
          <w:sz w:val="22"/>
          <w:szCs w:val="22"/>
        </w:rPr>
        <w:t>Accounting Horizons</w:t>
      </w:r>
      <w:r w:rsidRPr="003037DC">
        <w:rPr>
          <w:rFonts w:ascii="Arial" w:hAnsi="Arial" w:cs="Arial"/>
          <w:sz w:val="22"/>
          <w:szCs w:val="22"/>
        </w:rPr>
        <w:t xml:space="preserve"> and the IASB</w:t>
      </w:r>
      <w:r w:rsidR="00C328F6" w:rsidRPr="003037DC">
        <w:rPr>
          <w:rFonts w:ascii="Arial" w:hAnsi="Arial" w:cs="Arial"/>
          <w:sz w:val="22"/>
          <w:szCs w:val="22"/>
        </w:rPr>
        <w:t xml:space="preserve">. </w:t>
      </w:r>
      <w:r w:rsidRPr="003037DC">
        <w:rPr>
          <w:rFonts w:ascii="Arial" w:hAnsi="Arial" w:cs="Arial"/>
          <w:sz w:val="22"/>
          <w:szCs w:val="22"/>
        </w:rPr>
        <w:t>Decisions on paper selection</w:t>
      </w:r>
      <w:r w:rsidR="00E259CC" w:rsidRPr="003037DC">
        <w:rPr>
          <w:rFonts w:ascii="Arial" w:hAnsi="Arial" w:cs="Arial"/>
          <w:sz w:val="22"/>
          <w:szCs w:val="22"/>
        </w:rPr>
        <w:t>s</w:t>
      </w:r>
      <w:r w:rsidRPr="003037DC">
        <w:rPr>
          <w:rFonts w:ascii="Arial" w:hAnsi="Arial" w:cs="Arial"/>
          <w:sz w:val="22"/>
          <w:szCs w:val="22"/>
        </w:rPr>
        <w:t xml:space="preserve"> will be made by </w:t>
      </w:r>
      <w:r w:rsidR="009545E6" w:rsidRPr="003037DC">
        <w:rPr>
          <w:rFonts w:ascii="Arial" w:hAnsi="Arial" w:cs="Arial"/>
          <w:sz w:val="22"/>
          <w:szCs w:val="22"/>
        </w:rPr>
        <w:t xml:space="preserve">30 </w:t>
      </w:r>
      <w:r w:rsidRPr="003037DC">
        <w:rPr>
          <w:rFonts w:ascii="Arial" w:hAnsi="Arial" w:cs="Arial"/>
          <w:sz w:val="22"/>
          <w:szCs w:val="22"/>
        </w:rPr>
        <w:t xml:space="preserve">June 2025. </w:t>
      </w:r>
      <w:r w:rsidR="00C328F6" w:rsidRPr="003037DC">
        <w:rPr>
          <w:rFonts w:ascii="Arial" w:hAnsi="Arial" w:cs="Arial"/>
          <w:sz w:val="22"/>
          <w:szCs w:val="22"/>
        </w:rPr>
        <w:t>After presentation</w:t>
      </w:r>
      <w:r w:rsidRPr="003037DC">
        <w:rPr>
          <w:rFonts w:ascii="Arial" w:hAnsi="Arial" w:cs="Arial"/>
          <w:sz w:val="22"/>
          <w:szCs w:val="22"/>
        </w:rPr>
        <w:t xml:space="preserve"> at the forum</w:t>
      </w:r>
      <w:r w:rsidR="00C328F6" w:rsidRPr="003037DC">
        <w:rPr>
          <w:rFonts w:ascii="Arial" w:hAnsi="Arial" w:cs="Arial"/>
          <w:sz w:val="22"/>
          <w:szCs w:val="22"/>
        </w:rPr>
        <w:t xml:space="preserve">, the papers will be further processed at </w:t>
      </w:r>
      <w:r w:rsidR="00C328F6" w:rsidRPr="003037DC">
        <w:rPr>
          <w:rFonts w:ascii="Arial" w:hAnsi="Arial" w:cs="Arial"/>
          <w:i/>
          <w:iCs/>
          <w:sz w:val="22"/>
          <w:szCs w:val="22"/>
        </w:rPr>
        <w:t>Accounting Horizons</w:t>
      </w:r>
      <w:r w:rsidR="00C328F6" w:rsidRPr="003037DC">
        <w:rPr>
          <w:rFonts w:ascii="Arial" w:hAnsi="Arial" w:cs="Arial"/>
          <w:sz w:val="22"/>
          <w:szCs w:val="22"/>
        </w:rPr>
        <w:t xml:space="preserve"> using the standards for a normal review process. </w:t>
      </w:r>
      <w:r w:rsidRPr="003037DC">
        <w:rPr>
          <w:rFonts w:ascii="Arial" w:hAnsi="Arial" w:cs="Arial"/>
          <w:sz w:val="22"/>
          <w:szCs w:val="22"/>
        </w:rPr>
        <w:t xml:space="preserve">Papers that have passed the </w:t>
      </w:r>
      <w:r w:rsidR="00D5474F" w:rsidRPr="003037DC">
        <w:rPr>
          <w:rFonts w:ascii="Arial" w:hAnsi="Arial" w:cs="Arial"/>
          <w:sz w:val="22"/>
          <w:szCs w:val="22"/>
        </w:rPr>
        <w:t>first round</w:t>
      </w:r>
      <w:r w:rsidRPr="003037DC">
        <w:rPr>
          <w:rFonts w:ascii="Arial" w:hAnsi="Arial" w:cs="Arial"/>
          <w:sz w:val="22"/>
          <w:szCs w:val="22"/>
        </w:rPr>
        <w:t xml:space="preserve"> of review but not selected for forum presentation will also be further processed at </w:t>
      </w:r>
      <w:r w:rsidRPr="003037DC">
        <w:rPr>
          <w:rFonts w:ascii="Arial" w:hAnsi="Arial" w:cs="Arial"/>
          <w:i/>
          <w:iCs/>
          <w:sz w:val="22"/>
          <w:szCs w:val="22"/>
        </w:rPr>
        <w:t>Accounting Horizons</w:t>
      </w:r>
      <w:r w:rsidRPr="003037DC">
        <w:rPr>
          <w:rFonts w:ascii="Arial" w:hAnsi="Arial" w:cs="Arial"/>
          <w:sz w:val="22"/>
          <w:szCs w:val="22"/>
        </w:rPr>
        <w:t xml:space="preserve">. </w:t>
      </w:r>
      <w:r w:rsidR="00A90596" w:rsidRPr="003037DC">
        <w:rPr>
          <w:rFonts w:ascii="Arial" w:hAnsi="Arial" w:cs="Arial"/>
          <w:sz w:val="22"/>
          <w:szCs w:val="22"/>
        </w:rPr>
        <w:t xml:space="preserve">Any questions about online submission should be sent to </w:t>
      </w:r>
      <w:r w:rsidR="00C328F6" w:rsidRPr="003037DC">
        <w:rPr>
          <w:rFonts w:ascii="Arial" w:hAnsi="Arial" w:cs="Arial"/>
          <w:sz w:val="22"/>
          <w:szCs w:val="22"/>
        </w:rPr>
        <w:t xml:space="preserve">Lisa Baudot </w:t>
      </w:r>
      <w:r w:rsidR="00C328F6" w:rsidRPr="00136EA6">
        <w:rPr>
          <w:rFonts w:ascii="Arial" w:hAnsi="Arial" w:cs="Arial"/>
          <w:sz w:val="22"/>
          <w:szCs w:val="22"/>
        </w:rPr>
        <w:t>(</w:t>
      </w:r>
      <w:hyperlink r:id="rId22" w:history="1">
        <w:r w:rsidR="00C328F6" w:rsidRPr="00765E0B">
          <w:rPr>
            <w:rStyle w:val="Hyperlink"/>
            <w:rFonts w:ascii="Arial" w:hAnsi="Arial" w:cs="Arial"/>
            <w:color w:val="215E99" w:themeColor="text2" w:themeTint="BF"/>
            <w:sz w:val="22"/>
            <w:szCs w:val="22"/>
          </w:rPr>
          <w:t>baudot@hec.fr</w:t>
        </w:r>
      </w:hyperlink>
      <w:r w:rsidR="00C328F6" w:rsidRPr="00136EA6">
        <w:rPr>
          <w:rFonts w:ascii="Arial" w:hAnsi="Arial" w:cs="Arial"/>
          <w:sz w:val="22"/>
          <w:szCs w:val="22"/>
        </w:rPr>
        <w:t>)</w:t>
      </w:r>
      <w:r w:rsidR="00FA0EC8" w:rsidRPr="00136EA6">
        <w:rPr>
          <w:rFonts w:ascii="Arial" w:hAnsi="Arial" w:cs="Arial"/>
          <w:sz w:val="22"/>
          <w:szCs w:val="22"/>
        </w:rPr>
        <w:t xml:space="preserve">, </w:t>
      </w:r>
      <w:r w:rsidR="00FA0EC8" w:rsidRPr="003037DC">
        <w:rPr>
          <w:rFonts w:ascii="Arial" w:hAnsi="Arial" w:cs="Arial"/>
          <w:sz w:val="22"/>
          <w:szCs w:val="22"/>
        </w:rPr>
        <w:t xml:space="preserve">who is an editor of </w:t>
      </w:r>
      <w:r w:rsidR="00FA0EC8" w:rsidRPr="003037DC">
        <w:rPr>
          <w:rFonts w:ascii="Arial" w:hAnsi="Arial" w:cs="Arial"/>
          <w:i/>
          <w:iCs/>
          <w:sz w:val="22"/>
          <w:szCs w:val="22"/>
        </w:rPr>
        <w:t>Accounting Horizons</w:t>
      </w:r>
      <w:r w:rsidR="00FA0EC8" w:rsidRPr="003037DC">
        <w:rPr>
          <w:rFonts w:ascii="Arial" w:hAnsi="Arial" w:cs="Arial"/>
          <w:sz w:val="22"/>
          <w:szCs w:val="22"/>
        </w:rPr>
        <w:t>.</w:t>
      </w:r>
    </w:p>
    <w:bookmarkEnd w:id="0"/>
    <w:p w14:paraId="24D6EABC" w14:textId="55F196F9" w:rsidR="007B6E87" w:rsidRPr="003037DC" w:rsidRDefault="007B6E87" w:rsidP="0085392D">
      <w:pPr>
        <w:rPr>
          <w:rFonts w:ascii="Arial" w:hAnsi="Arial" w:cs="Arial"/>
          <w:sz w:val="22"/>
          <w:szCs w:val="22"/>
        </w:rPr>
      </w:pPr>
    </w:p>
    <w:p w14:paraId="4F5D8622" w14:textId="77777777" w:rsidR="0030580C" w:rsidRPr="003037DC" w:rsidRDefault="0030580C" w:rsidP="0085392D">
      <w:pPr>
        <w:rPr>
          <w:rFonts w:ascii="Arial" w:eastAsia="Calibri" w:hAnsi="Arial" w:cs="Arial"/>
          <w:i/>
          <w:iCs/>
          <w:sz w:val="22"/>
          <w:szCs w:val="22"/>
        </w:rPr>
      </w:pPr>
      <w:r w:rsidRPr="003037DC">
        <w:rPr>
          <w:rFonts w:ascii="Arial" w:eastAsia="Calibri" w:hAnsi="Arial" w:cs="Arial"/>
          <w:b/>
          <w:bCs/>
          <w:sz w:val="22"/>
          <w:szCs w:val="22"/>
        </w:rPr>
        <w:t>About the Journal:</w:t>
      </w:r>
      <w:r w:rsidRPr="003037DC">
        <w:rPr>
          <w:rFonts w:ascii="Arial" w:eastAsia="Calibri" w:hAnsi="Arial" w:cs="Arial"/>
          <w:i/>
          <w:iCs/>
          <w:sz w:val="22"/>
          <w:szCs w:val="22"/>
        </w:rPr>
        <w:t xml:space="preserve"> </w:t>
      </w:r>
    </w:p>
    <w:p w14:paraId="6A408804" w14:textId="0E8B551A" w:rsidR="007B6E87" w:rsidRPr="003037DC" w:rsidRDefault="0085392D" w:rsidP="00204218">
      <w:pPr>
        <w:jc w:val="both"/>
        <w:rPr>
          <w:rFonts w:ascii="Arial" w:hAnsi="Arial" w:cs="Arial"/>
          <w:sz w:val="22"/>
          <w:szCs w:val="22"/>
        </w:rPr>
      </w:pPr>
      <w:r w:rsidRPr="003037DC">
        <w:rPr>
          <w:rFonts w:ascii="Arial" w:eastAsia="Calibri" w:hAnsi="Arial" w:cs="Arial"/>
          <w:i/>
          <w:iCs/>
          <w:sz w:val="22"/>
          <w:szCs w:val="22"/>
        </w:rPr>
        <w:t>Accounting Horizons</w:t>
      </w:r>
      <w:r w:rsidRPr="003037DC">
        <w:rPr>
          <w:rFonts w:ascii="Arial" w:eastAsia="Calibri" w:hAnsi="Arial" w:cs="Arial"/>
          <w:sz w:val="22"/>
          <w:szCs w:val="22"/>
        </w:rPr>
        <w:t xml:space="preserve"> </w:t>
      </w:r>
      <w:r w:rsidR="0030580C" w:rsidRPr="003037DC">
        <w:rPr>
          <w:rFonts w:ascii="Arial" w:eastAsia="Calibri" w:hAnsi="Arial" w:cs="Arial"/>
          <w:sz w:val="22"/>
          <w:szCs w:val="22"/>
        </w:rPr>
        <w:t xml:space="preserve">was founded in 1987 </w:t>
      </w:r>
      <w:r w:rsidR="006011BC" w:rsidRPr="003037DC">
        <w:rPr>
          <w:rFonts w:ascii="Arial" w:eastAsia="Calibri" w:hAnsi="Arial" w:cs="Arial"/>
          <w:sz w:val="22"/>
          <w:szCs w:val="22"/>
        </w:rPr>
        <w:t xml:space="preserve">by the American Accounting Association (AAA) </w:t>
      </w:r>
      <w:r w:rsidR="0030580C" w:rsidRPr="003037DC">
        <w:rPr>
          <w:rFonts w:ascii="Arial" w:eastAsia="Calibri" w:hAnsi="Arial" w:cs="Arial"/>
          <w:sz w:val="22"/>
          <w:szCs w:val="22"/>
        </w:rPr>
        <w:t xml:space="preserve">as an academic journal </w:t>
      </w:r>
      <w:r w:rsidR="0030580C" w:rsidRPr="003037DC">
        <w:rPr>
          <w:rFonts w:ascii="Arial" w:eastAsia="Times New Roman" w:hAnsi="Arial" w:cs="Arial"/>
          <w:sz w:val="22"/>
          <w:szCs w:val="22"/>
          <w:lang w:bidi="en-US"/>
        </w:rPr>
        <w:t xml:space="preserve">to bridge accounting academics and non-academics by publishing rigorous original research papers and thought-provoking perspectives articles. The journal </w:t>
      </w:r>
      <w:r w:rsidRPr="003037DC">
        <w:rPr>
          <w:rFonts w:ascii="Arial" w:eastAsia="Calibri" w:hAnsi="Arial" w:cs="Arial"/>
          <w:sz w:val="22"/>
          <w:szCs w:val="22"/>
        </w:rPr>
        <w:t xml:space="preserve">is one of the three association-wide journals of the AAA and the second most downloaded journal in the AAA family of 17 journals. </w:t>
      </w:r>
      <w:r w:rsidR="0030580C" w:rsidRPr="003037DC">
        <w:rPr>
          <w:rFonts w:ascii="Arial" w:eastAsia="Calibri" w:hAnsi="Arial" w:cs="Arial"/>
          <w:sz w:val="22"/>
          <w:szCs w:val="22"/>
        </w:rPr>
        <w:t xml:space="preserve">Among the top-12 academic accounting journals in the world, </w:t>
      </w:r>
      <w:r w:rsidR="0030580C" w:rsidRPr="003037DC">
        <w:rPr>
          <w:rFonts w:ascii="Arial" w:eastAsia="Calibri" w:hAnsi="Arial" w:cs="Arial"/>
          <w:i/>
          <w:iCs/>
          <w:sz w:val="22"/>
          <w:szCs w:val="22"/>
        </w:rPr>
        <w:t>Accounting Horizons</w:t>
      </w:r>
      <w:r w:rsidR="0030580C" w:rsidRPr="003037DC">
        <w:rPr>
          <w:rFonts w:ascii="Arial" w:eastAsia="Calibri" w:hAnsi="Arial" w:cs="Arial"/>
          <w:sz w:val="22"/>
          <w:szCs w:val="22"/>
        </w:rPr>
        <w:t xml:space="preserve"> is the second best-rated by practitioners for relevance and impact</w:t>
      </w:r>
      <w:r w:rsidR="00852FDC" w:rsidRPr="003037DC">
        <w:rPr>
          <w:rFonts w:ascii="Arial" w:eastAsia="Calibri" w:hAnsi="Arial" w:cs="Arial"/>
          <w:sz w:val="22"/>
          <w:szCs w:val="22"/>
        </w:rPr>
        <w:t xml:space="preserve">, according to </w:t>
      </w:r>
      <w:r w:rsidR="0030580C" w:rsidRPr="003037DC">
        <w:rPr>
          <w:rFonts w:ascii="Arial" w:eastAsia="Calibri" w:hAnsi="Arial" w:cs="Arial"/>
          <w:sz w:val="22"/>
          <w:szCs w:val="22"/>
        </w:rPr>
        <w:t xml:space="preserve">Burton et al. </w:t>
      </w:r>
      <w:r w:rsidR="00852FDC" w:rsidRPr="003037DC">
        <w:rPr>
          <w:rFonts w:ascii="Arial" w:eastAsia="Calibri" w:hAnsi="Arial" w:cs="Arial"/>
          <w:sz w:val="22"/>
          <w:szCs w:val="22"/>
        </w:rPr>
        <w:t>(“Relevance of accounting research (ROAR) scores: Ratings of titles and abstracts by accounting professionals</w:t>
      </w:r>
      <w:r w:rsidR="007F4323" w:rsidRPr="003037DC">
        <w:rPr>
          <w:rFonts w:ascii="Arial" w:eastAsia="Calibri" w:hAnsi="Arial" w:cs="Arial"/>
          <w:sz w:val="22"/>
          <w:szCs w:val="22"/>
        </w:rPr>
        <w:t xml:space="preserve">,” </w:t>
      </w:r>
      <w:r w:rsidR="00852FDC" w:rsidRPr="003037DC">
        <w:rPr>
          <w:rFonts w:ascii="Arial" w:eastAsia="Calibri" w:hAnsi="Arial" w:cs="Arial"/>
          <w:i/>
          <w:iCs/>
          <w:sz w:val="22"/>
          <w:szCs w:val="22"/>
        </w:rPr>
        <w:t>Accounting Horizons</w:t>
      </w:r>
      <w:r w:rsidR="00852FDC" w:rsidRPr="003037DC">
        <w:rPr>
          <w:rFonts w:ascii="Arial" w:eastAsia="Calibri" w:hAnsi="Arial" w:cs="Arial"/>
          <w:sz w:val="22"/>
          <w:szCs w:val="22"/>
        </w:rPr>
        <w:t>,</w:t>
      </w:r>
      <w:r w:rsidR="00852FDC" w:rsidRPr="003037DC">
        <w:rPr>
          <w:rFonts w:ascii="Arial" w:eastAsia="Calibri" w:hAnsi="Arial" w:cs="Arial"/>
          <w:i/>
          <w:iCs/>
          <w:sz w:val="22"/>
          <w:szCs w:val="22"/>
        </w:rPr>
        <w:t xml:space="preserve"> </w:t>
      </w:r>
      <w:r w:rsidR="00852FDC" w:rsidRPr="003037DC">
        <w:rPr>
          <w:rFonts w:ascii="Arial" w:eastAsia="Calibri" w:hAnsi="Arial" w:cs="Arial"/>
          <w:sz w:val="22"/>
          <w:szCs w:val="22"/>
        </w:rPr>
        <w:t>2022</w:t>
      </w:r>
      <w:r w:rsidR="00852FDC" w:rsidRPr="003037DC">
        <w:rPr>
          <w:rFonts w:ascii="Arial" w:eastAsia="Calibri" w:hAnsi="Arial" w:cs="Arial"/>
          <w:i/>
          <w:iCs/>
          <w:sz w:val="22"/>
          <w:szCs w:val="22"/>
        </w:rPr>
        <w:t xml:space="preserve">, </w:t>
      </w:r>
      <w:r w:rsidR="00852FDC" w:rsidRPr="003037DC">
        <w:rPr>
          <w:rFonts w:ascii="Arial" w:eastAsia="Calibri" w:hAnsi="Arial" w:cs="Arial"/>
          <w:sz w:val="22"/>
          <w:szCs w:val="22"/>
        </w:rPr>
        <w:t>36 (2): 7-18</w:t>
      </w:r>
      <w:r w:rsidR="0030580C" w:rsidRPr="003037DC">
        <w:rPr>
          <w:rFonts w:ascii="Arial" w:eastAsia="Calibri" w:hAnsi="Arial" w:cs="Arial"/>
          <w:sz w:val="22"/>
          <w:szCs w:val="22"/>
        </w:rPr>
        <w:t>)</w:t>
      </w:r>
      <w:r w:rsidR="00852FDC" w:rsidRPr="003037DC">
        <w:rPr>
          <w:rFonts w:ascii="Arial" w:eastAsia="Calibri" w:hAnsi="Arial" w:cs="Arial"/>
          <w:sz w:val="22"/>
          <w:szCs w:val="22"/>
        </w:rPr>
        <w:t>.</w:t>
      </w:r>
    </w:p>
    <w:sectPr w:rsidR="007B6E87" w:rsidRPr="003037DC">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0351" w14:textId="77777777" w:rsidR="005B7627" w:rsidRDefault="005B7627" w:rsidP="00345355">
      <w:r>
        <w:separator/>
      </w:r>
    </w:p>
  </w:endnote>
  <w:endnote w:type="continuationSeparator" w:id="0">
    <w:p w14:paraId="7B8D2BAE" w14:textId="77777777" w:rsidR="005B7627" w:rsidRDefault="005B7627" w:rsidP="00345355">
      <w:r>
        <w:continuationSeparator/>
      </w:r>
    </w:p>
  </w:endnote>
  <w:endnote w:type="continuationNotice" w:id="1">
    <w:p w14:paraId="11B1211F" w14:textId="77777777" w:rsidR="005B7627" w:rsidRDefault="005B7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7687610"/>
      <w:docPartObj>
        <w:docPartGallery w:val="Page Numbers (Bottom of Page)"/>
        <w:docPartUnique/>
      </w:docPartObj>
    </w:sdtPr>
    <w:sdtEndPr>
      <w:rPr>
        <w:rStyle w:val="PageNumber"/>
      </w:rPr>
    </w:sdtEndPr>
    <w:sdtContent>
      <w:p w14:paraId="776E0E66" w14:textId="20006C92" w:rsidR="00345355" w:rsidRDefault="0034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FBA61" w14:textId="77777777" w:rsidR="00345355" w:rsidRDefault="00345355" w:rsidP="0034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779455"/>
      <w:docPartObj>
        <w:docPartGallery w:val="Page Numbers (Bottom of Page)"/>
        <w:docPartUnique/>
      </w:docPartObj>
    </w:sdtPr>
    <w:sdtEndPr>
      <w:rPr>
        <w:rStyle w:val="PageNumber"/>
      </w:rPr>
    </w:sdtEndPr>
    <w:sdtContent>
      <w:p w14:paraId="30C3C731" w14:textId="39FFBA5C" w:rsidR="00345355" w:rsidRDefault="0034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8105AE" w14:textId="77777777" w:rsidR="00345355" w:rsidRDefault="00345355" w:rsidP="003453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68F0" w14:textId="77777777" w:rsidR="005B7627" w:rsidRDefault="005B7627" w:rsidP="00345355">
      <w:r>
        <w:separator/>
      </w:r>
    </w:p>
  </w:footnote>
  <w:footnote w:type="continuationSeparator" w:id="0">
    <w:p w14:paraId="6778B5BB" w14:textId="77777777" w:rsidR="005B7627" w:rsidRDefault="005B7627" w:rsidP="00345355">
      <w:r>
        <w:continuationSeparator/>
      </w:r>
    </w:p>
  </w:footnote>
  <w:footnote w:type="continuationNotice" w:id="1">
    <w:p w14:paraId="70BB3B24" w14:textId="77777777" w:rsidR="005B7627" w:rsidRDefault="005B76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103"/>
    <w:multiLevelType w:val="hybridMultilevel"/>
    <w:tmpl w:val="3124A028"/>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3E600A6"/>
    <w:multiLevelType w:val="hybridMultilevel"/>
    <w:tmpl w:val="1330751A"/>
    <w:lvl w:ilvl="0" w:tplc="CBE81F60">
      <w:start w:val="1"/>
      <w:numFmt w:val="bullet"/>
      <w:lvlText w:val="•"/>
      <w:lvlJc w:val="left"/>
      <w:pPr>
        <w:tabs>
          <w:tab w:val="num" w:pos="720"/>
        </w:tabs>
        <w:ind w:left="720" w:hanging="360"/>
      </w:pPr>
      <w:rPr>
        <w:rFonts w:ascii="Arial" w:hAnsi="Arial" w:hint="default"/>
      </w:rPr>
    </w:lvl>
    <w:lvl w:ilvl="1" w:tplc="04102A2A">
      <w:numFmt w:val="bullet"/>
      <w:lvlText w:val="•"/>
      <w:lvlJc w:val="left"/>
      <w:pPr>
        <w:tabs>
          <w:tab w:val="num" w:pos="1440"/>
        </w:tabs>
        <w:ind w:left="1440" w:hanging="360"/>
      </w:pPr>
      <w:rPr>
        <w:rFonts w:ascii="Arial" w:hAnsi="Arial" w:hint="default"/>
      </w:rPr>
    </w:lvl>
    <w:lvl w:ilvl="2" w:tplc="15165744" w:tentative="1">
      <w:start w:val="1"/>
      <w:numFmt w:val="bullet"/>
      <w:lvlText w:val="•"/>
      <w:lvlJc w:val="left"/>
      <w:pPr>
        <w:tabs>
          <w:tab w:val="num" w:pos="2160"/>
        </w:tabs>
        <w:ind w:left="2160" w:hanging="360"/>
      </w:pPr>
      <w:rPr>
        <w:rFonts w:ascii="Arial" w:hAnsi="Arial" w:hint="default"/>
      </w:rPr>
    </w:lvl>
    <w:lvl w:ilvl="3" w:tplc="3CA61970" w:tentative="1">
      <w:start w:val="1"/>
      <w:numFmt w:val="bullet"/>
      <w:lvlText w:val="•"/>
      <w:lvlJc w:val="left"/>
      <w:pPr>
        <w:tabs>
          <w:tab w:val="num" w:pos="2880"/>
        </w:tabs>
        <w:ind w:left="2880" w:hanging="360"/>
      </w:pPr>
      <w:rPr>
        <w:rFonts w:ascii="Arial" w:hAnsi="Arial" w:hint="default"/>
      </w:rPr>
    </w:lvl>
    <w:lvl w:ilvl="4" w:tplc="5AFE1CD2" w:tentative="1">
      <w:start w:val="1"/>
      <w:numFmt w:val="bullet"/>
      <w:lvlText w:val="•"/>
      <w:lvlJc w:val="left"/>
      <w:pPr>
        <w:tabs>
          <w:tab w:val="num" w:pos="3600"/>
        </w:tabs>
        <w:ind w:left="3600" w:hanging="360"/>
      </w:pPr>
      <w:rPr>
        <w:rFonts w:ascii="Arial" w:hAnsi="Arial" w:hint="default"/>
      </w:rPr>
    </w:lvl>
    <w:lvl w:ilvl="5" w:tplc="063EFA0C" w:tentative="1">
      <w:start w:val="1"/>
      <w:numFmt w:val="bullet"/>
      <w:lvlText w:val="•"/>
      <w:lvlJc w:val="left"/>
      <w:pPr>
        <w:tabs>
          <w:tab w:val="num" w:pos="4320"/>
        </w:tabs>
        <w:ind w:left="4320" w:hanging="360"/>
      </w:pPr>
      <w:rPr>
        <w:rFonts w:ascii="Arial" w:hAnsi="Arial" w:hint="default"/>
      </w:rPr>
    </w:lvl>
    <w:lvl w:ilvl="6" w:tplc="2D06ADCC" w:tentative="1">
      <w:start w:val="1"/>
      <w:numFmt w:val="bullet"/>
      <w:lvlText w:val="•"/>
      <w:lvlJc w:val="left"/>
      <w:pPr>
        <w:tabs>
          <w:tab w:val="num" w:pos="5040"/>
        </w:tabs>
        <w:ind w:left="5040" w:hanging="360"/>
      </w:pPr>
      <w:rPr>
        <w:rFonts w:ascii="Arial" w:hAnsi="Arial" w:hint="default"/>
      </w:rPr>
    </w:lvl>
    <w:lvl w:ilvl="7" w:tplc="1800083A" w:tentative="1">
      <w:start w:val="1"/>
      <w:numFmt w:val="bullet"/>
      <w:lvlText w:val="•"/>
      <w:lvlJc w:val="left"/>
      <w:pPr>
        <w:tabs>
          <w:tab w:val="num" w:pos="5760"/>
        </w:tabs>
        <w:ind w:left="5760" w:hanging="360"/>
      </w:pPr>
      <w:rPr>
        <w:rFonts w:ascii="Arial" w:hAnsi="Arial" w:hint="default"/>
      </w:rPr>
    </w:lvl>
    <w:lvl w:ilvl="8" w:tplc="DA0232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612F78"/>
    <w:multiLevelType w:val="hybridMultilevel"/>
    <w:tmpl w:val="18FE4AB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78644D9"/>
    <w:multiLevelType w:val="hybridMultilevel"/>
    <w:tmpl w:val="D1D0A7D2"/>
    <w:lvl w:ilvl="0" w:tplc="C6BCB78A">
      <w:start w:val="1"/>
      <w:numFmt w:val="bullet"/>
      <w:lvlText w:val="•"/>
      <w:lvlJc w:val="left"/>
      <w:pPr>
        <w:tabs>
          <w:tab w:val="num" w:pos="720"/>
        </w:tabs>
        <w:ind w:left="720" w:hanging="360"/>
      </w:pPr>
      <w:rPr>
        <w:rFonts w:ascii="Arial" w:hAnsi="Arial" w:hint="default"/>
      </w:rPr>
    </w:lvl>
    <w:lvl w:ilvl="1" w:tplc="B678A108">
      <w:start w:val="1"/>
      <w:numFmt w:val="bullet"/>
      <w:lvlText w:val="•"/>
      <w:lvlJc w:val="left"/>
      <w:pPr>
        <w:tabs>
          <w:tab w:val="num" w:pos="1440"/>
        </w:tabs>
        <w:ind w:left="1440" w:hanging="360"/>
      </w:pPr>
      <w:rPr>
        <w:rFonts w:ascii="Arial" w:hAnsi="Arial" w:hint="default"/>
      </w:rPr>
    </w:lvl>
    <w:lvl w:ilvl="2" w:tplc="2E76B952" w:tentative="1">
      <w:start w:val="1"/>
      <w:numFmt w:val="bullet"/>
      <w:lvlText w:val="•"/>
      <w:lvlJc w:val="left"/>
      <w:pPr>
        <w:tabs>
          <w:tab w:val="num" w:pos="2160"/>
        </w:tabs>
        <w:ind w:left="2160" w:hanging="360"/>
      </w:pPr>
      <w:rPr>
        <w:rFonts w:ascii="Arial" w:hAnsi="Arial" w:hint="default"/>
      </w:rPr>
    </w:lvl>
    <w:lvl w:ilvl="3" w:tplc="222C3492" w:tentative="1">
      <w:start w:val="1"/>
      <w:numFmt w:val="bullet"/>
      <w:lvlText w:val="•"/>
      <w:lvlJc w:val="left"/>
      <w:pPr>
        <w:tabs>
          <w:tab w:val="num" w:pos="2880"/>
        </w:tabs>
        <w:ind w:left="2880" w:hanging="360"/>
      </w:pPr>
      <w:rPr>
        <w:rFonts w:ascii="Arial" w:hAnsi="Arial" w:hint="default"/>
      </w:rPr>
    </w:lvl>
    <w:lvl w:ilvl="4" w:tplc="0D221FD0" w:tentative="1">
      <w:start w:val="1"/>
      <w:numFmt w:val="bullet"/>
      <w:lvlText w:val="•"/>
      <w:lvlJc w:val="left"/>
      <w:pPr>
        <w:tabs>
          <w:tab w:val="num" w:pos="3600"/>
        </w:tabs>
        <w:ind w:left="3600" w:hanging="360"/>
      </w:pPr>
      <w:rPr>
        <w:rFonts w:ascii="Arial" w:hAnsi="Arial" w:hint="default"/>
      </w:rPr>
    </w:lvl>
    <w:lvl w:ilvl="5" w:tplc="EF46E8CC" w:tentative="1">
      <w:start w:val="1"/>
      <w:numFmt w:val="bullet"/>
      <w:lvlText w:val="•"/>
      <w:lvlJc w:val="left"/>
      <w:pPr>
        <w:tabs>
          <w:tab w:val="num" w:pos="4320"/>
        </w:tabs>
        <w:ind w:left="4320" w:hanging="360"/>
      </w:pPr>
      <w:rPr>
        <w:rFonts w:ascii="Arial" w:hAnsi="Arial" w:hint="default"/>
      </w:rPr>
    </w:lvl>
    <w:lvl w:ilvl="6" w:tplc="9826585E" w:tentative="1">
      <w:start w:val="1"/>
      <w:numFmt w:val="bullet"/>
      <w:lvlText w:val="•"/>
      <w:lvlJc w:val="left"/>
      <w:pPr>
        <w:tabs>
          <w:tab w:val="num" w:pos="5040"/>
        </w:tabs>
        <w:ind w:left="5040" w:hanging="360"/>
      </w:pPr>
      <w:rPr>
        <w:rFonts w:ascii="Arial" w:hAnsi="Arial" w:hint="default"/>
      </w:rPr>
    </w:lvl>
    <w:lvl w:ilvl="7" w:tplc="A6048898" w:tentative="1">
      <w:start w:val="1"/>
      <w:numFmt w:val="bullet"/>
      <w:lvlText w:val="•"/>
      <w:lvlJc w:val="left"/>
      <w:pPr>
        <w:tabs>
          <w:tab w:val="num" w:pos="5760"/>
        </w:tabs>
        <w:ind w:left="5760" w:hanging="360"/>
      </w:pPr>
      <w:rPr>
        <w:rFonts w:ascii="Arial" w:hAnsi="Arial" w:hint="default"/>
      </w:rPr>
    </w:lvl>
    <w:lvl w:ilvl="8" w:tplc="D66EF2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8A6DE2"/>
    <w:multiLevelType w:val="hybridMultilevel"/>
    <w:tmpl w:val="2EEEAE8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526871802">
    <w:abstractNumId w:val="2"/>
  </w:num>
  <w:num w:numId="2" w16cid:durableId="1479761082">
    <w:abstractNumId w:val="1"/>
  </w:num>
  <w:num w:numId="3" w16cid:durableId="1982155335">
    <w:abstractNumId w:val="3"/>
  </w:num>
  <w:num w:numId="4" w16cid:durableId="2073191475">
    <w:abstractNumId w:val="4"/>
  </w:num>
  <w:num w:numId="5" w16cid:durableId="90310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7"/>
    <w:rsid w:val="00000A6F"/>
    <w:rsid w:val="000204C6"/>
    <w:rsid w:val="00041474"/>
    <w:rsid w:val="00045935"/>
    <w:rsid w:val="00061411"/>
    <w:rsid w:val="00095B19"/>
    <w:rsid w:val="000A314E"/>
    <w:rsid w:val="000A492E"/>
    <w:rsid w:val="000B1660"/>
    <w:rsid w:val="000C4A5C"/>
    <w:rsid w:val="000D3E58"/>
    <w:rsid w:val="000D3F00"/>
    <w:rsid w:val="000E3640"/>
    <w:rsid w:val="000F27FF"/>
    <w:rsid w:val="0011504F"/>
    <w:rsid w:val="001276E4"/>
    <w:rsid w:val="00136EA6"/>
    <w:rsid w:val="001574E9"/>
    <w:rsid w:val="001D0003"/>
    <w:rsid w:val="001E67E9"/>
    <w:rsid w:val="001F0826"/>
    <w:rsid w:val="00200E14"/>
    <w:rsid w:val="00204218"/>
    <w:rsid w:val="00211ED5"/>
    <w:rsid w:val="002264A9"/>
    <w:rsid w:val="00234598"/>
    <w:rsid w:val="002409BC"/>
    <w:rsid w:val="002478A0"/>
    <w:rsid w:val="00253F35"/>
    <w:rsid w:val="00254EDD"/>
    <w:rsid w:val="002655E1"/>
    <w:rsid w:val="00284E2E"/>
    <w:rsid w:val="00296F3B"/>
    <w:rsid w:val="002A171A"/>
    <w:rsid w:val="002A6F93"/>
    <w:rsid w:val="002E1468"/>
    <w:rsid w:val="002F1521"/>
    <w:rsid w:val="002F4ED2"/>
    <w:rsid w:val="002F6D01"/>
    <w:rsid w:val="003037DC"/>
    <w:rsid w:val="0030580C"/>
    <w:rsid w:val="003342CB"/>
    <w:rsid w:val="00345355"/>
    <w:rsid w:val="0035599F"/>
    <w:rsid w:val="003700B1"/>
    <w:rsid w:val="0038319D"/>
    <w:rsid w:val="00383EB3"/>
    <w:rsid w:val="00385427"/>
    <w:rsid w:val="0039148F"/>
    <w:rsid w:val="003B2640"/>
    <w:rsid w:val="003B4CEA"/>
    <w:rsid w:val="003C1D24"/>
    <w:rsid w:val="003C4B3A"/>
    <w:rsid w:val="004065DA"/>
    <w:rsid w:val="00457015"/>
    <w:rsid w:val="004619FF"/>
    <w:rsid w:val="004A7CC3"/>
    <w:rsid w:val="004C3957"/>
    <w:rsid w:val="004C617F"/>
    <w:rsid w:val="004D2A0A"/>
    <w:rsid w:val="004F7C25"/>
    <w:rsid w:val="0050155C"/>
    <w:rsid w:val="005227F5"/>
    <w:rsid w:val="00543DDD"/>
    <w:rsid w:val="005851FD"/>
    <w:rsid w:val="00592808"/>
    <w:rsid w:val="005B5448"/>
    <w:rsid w:val="005B7627"/>
    <w:rsid w:val="005C2E4E"/>
    <w:rsid w:val="005C35F5"/>
    <w:rsid w:val="005C4C02"/>
    <w:rsid w:val="005D31C0"/>
    <w:rsid w:val="005E640E"/>
    <w:rsid w:val="006011BC"/>
    <w:rsid w:val="00611328"/>
    <w:rsid w:val="006256B3"/>
    <w:rsid w:val="00632AB4"/>
    <w:rsid w:val="00671475"/>
    <w:rsid w:val="00692EFB"/>
    <w:rsid w:val="006C7F53"/>
    <w:rsid w:val="006D2EE5"/>
    <w:rsid w:val="006E5001"/>
    <w:rsid w:val="006E634C"/>
    <w:rsid w:val="0071141E"/>
    <w:rsid w:val="00745198"/>
    <w:rsid w:val="0074797F"/>
    <w:rsid w:val="007541E3"/>
    <w:rsid w:val="0075477D"/>
    <w:rsid w:val="007561EB"/>
    <w:rsid w:val="00765E0B"/>
    <w:rsid w:val="00765E64"/>
    <w:rsid w:val="00780389"/>
    <w:rsid w:val="007810E1"/>
    <w:rsid w:val="00782E03"/>
    <w:rsid w:val="007B6E87"/>
    <w:rsid w:val="007C1CA5"/>
    <w:rsid w:val="007C28CD"/>
    <w:rsid w:val="007D239E"/>
    <w:rsid w:val="007D4E41"/>
    <w:rsid w:val="007D5BB0"/>
    <w:rsid w:val="007F4323"/>
    <w:rsid w:val="0080276E"/>
    <w:rsid w:val="00806528"/>
    <w:rsid w:val="008159A8"/>
    <w:rsid w:val="00837D8C"/>
    <w:rsid w:val="00850E12"/>
    <w:rsid w:val="00851C58"/>
    <w:rsid w:val="00852FDC"/>
    <w:rsid w:val="0085392D"/>
    <w:rsid w:val="00871DD4"/>
    <w:rsid w:val="008879D1"/>
    <w:rsid w:val="008A5131"/>
    <w:rsid w:val="008B1A90"/>
    <w:rsid w:val="008B2CC7"/>
    <w:rsid w:val="008C4DF1"/>
    <w:rsid w:val="008D5D6B"/>
    <w:rsid w:val="008D71FE"/>
    <w:rsid w:val="008E3FDC"/>
    <w:rsid w:val="009040E2"/>
    <w:rsid w:val="00913BEE"/>
    <w:rsid w:val="00916EFC"/>
    <w:rsid w:val="009545E6"/>
    <w:rsid w:val="00957194"/>
    <w:rsid w:val="00960EFA"/>
    <w:rsid w:val="00982F88"/>
    <w:rsid w:val="009918D6"/>
    <w:rsid w:val="009946D9"/>
    <w:rsid w:val="009A4E1C"/>
    <w:rsid w:val="009A5530"/>
    <w:rsid w:val="009B2C13"/>
    <w:rsid w:val="009B3CD9"/>
    <w:rsid w:val="009C30E6"/>
    <w:rsid w:val="009D2CA7"/>
    <w:rsid w:val="009E6619"/>
    <w:rsid w:val="009F59A8"/>
    <w:rsid w:val="00A10A42"/>
    <w:rsid w:val="00A51787"/>
    <w:rsid w:val="00A53B73"/>
    <w:rsid w:val="00A90596"/>
    <w:rsid w:val="00AA756A"/>
    <w:rsid w:val="00AD3E08"/>
    <w:rsid w:val="00AD784A"/>
    <w:rsid w:val="00B00679"/>
    <w:rsid w:val="00B15C07"/>
    <w:rsid w:val="00B163D1"/>
    <w:rsid w:val="00B60F6E"/>
    <w:rsid w:val="00B6600A"/>
    <w:rsid w:val="00B938F2"/>
    <w:rsid w:val="00BB14BE"/>
    <w:rsid w:val="00BB255D"/>
    <w:rsid w:val="00BB50C9"/>
    <w:rsid w:val="00BB6680"/>
    <w:rsid w:val="00BC4A3B"/>
    <w:rsid w:val="00BE5CE8"/>
    <w:rsid w:val="00BF4CCC"/>
    <w:rsid w:val="00C2051A"/>
    <w:rsid w:val="00C23762"/>
    <w:rsid w:val="00C328F6"/>
    <w:rsid w:val="00C3580D"/>
    <w:rsid w:val="00C426AE"/>
    <w:rsid w:val="00C71BC6"/>
    <w:rsid w:val="00C723D1"/>
    <w:rsid w:val="00CA4668"/>
    <w:rsid w:val="00CC2E67"/>
    <w:rsid w:val="00CE6042"/>
    <w:rsid w:val="00CE79AA"/>
    <w:rsid w:val="00D11E8C"/>
    <w:rsid w:val="00D32E68"/>
    <w:rsid w:val="00D467E9"/>
    <w:rsid w:val="00D46DFA"/>
    <w:rsid w:val="00D5474F"/>
    <w:rsid w:val="00D54BBD"/>
    <w:rsid w:val="00D54E11"/>
    <w:rsid w:val="00DB61F4"/>
    <w:rsid w:val="00DE4D47"/>
    <w:rsid w:val="00E00B0B"/>
    <w:rsid w:val="00E035B9"/>
    <w:rsid w:val="00E17DC9"/>
    <w:rsid w:val="00E259CC"/>
    <w:rsid w:val="00E31E30"/>
    <w:rsid w:val="00E57AE2"/>
    <w:rsid w:val="00EB0D74"/>
    <w:rsid w:val="00EC1DD7"/>
    <w:rsid w:val="00F069B9"/>
    <w:rsid w:val="00F07113"/>
    <w:rsid w:val="00F21EBA"/>
    <w:rsid w:val="00F3022F"/>
    <w:rsid w:val="00F32B22"/>
    <w:rsid w:val="00F424CE"/>
    <w:rsid w:val="00F772BB"/>
    <w:rsid w:val="00FA0EC8"/>
    <w:rsid w:val="00FB2F25"/>
    <w:rsid w:val="00FB7170"/>
    <w:rsid w:val="00FC285E"/>
    <w:rsid w:val="05629075"/>
    <w:rsid w:val="0E624A94"/>
    <w:rsid w:val="101040D9"/>
    <w:rsid w:val="141EA08D"/>
    <w:rsid w:val="147C68F8"/>
    <w:rsid w:val="20A07DEA"/>
    <w:rsid w:val="2800BFDA"/>
    <w:rsid w:val="2863537D"/>
    <w:rsid w:val="2B667C7E"/>
    <w:rsid w:val="2DA30360"/>
    <w:rsid w:val="2F3DD31D"/>
    <w:rsid w:val="3B1B47E6"/>
    <w:rsid w:val="591889E6"/>
    <w:rsid w:val="5E912E25"/>
    <w:rsid w:val="6E769791"/>
    <w:rsid w:val="70C420A4"/>
    <w:rsid w:val="74F15A81"/>
    <w:rsid w:val="779E07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CE"/>
  <w15:chartTrackingRefBased/>
  <w15:docId w15:val="{67CE8237-0541-40D4-BE92-D26C2378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E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6E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6E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6E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6E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6E8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6E8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6E8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6E8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6E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6E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6E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6E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6E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6E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6E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6E87"/>
    <w:rPr>
      <w:rFonts w:eastAsiaTheme="majorEastAsia" w:cstheme="majorBidi"/>
      <w:color w:val="272727" w:themeColor="text1" w:themeTint="D8"/>
    </w:rPr>
  </w:style>
  <w:style w:type="paragraph" w:styleId="Title">
    <w:name w:val="Title"/>
    <w:basedOn w:val="Normal"/>
    <w:next w:val="Normal"/>
    <w:link w:val="TitleChar"/>
    <w:uiPriority w:val="10"/>
    <w:qFormat/>
    <w:rsid w:val="007B6E8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E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6E8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6E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6E8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6E87"/>
    <w:rPr>
      <w:i/>
      <w:iCs/>
      <w:color w:val="404040" w:themeColor="text1" w:themeTint="BF"/>
    </w:rPr>
  </w:style>
  <w:style w:type="paragraph" w:styleId="ListParagraph">
    <w:name w:val="List Paragraph"/>
    <w:basedOn w:val="Normal"/>
    <w:uiPriority w:val="34"/>
    <w:qFormat/>
    <w:rsid w:val="007B6E87"/>
    <w:pPr>
      <w:ind w:left="720"/>
      <w:contextualSpacing/>
    </w:pPr>
  </w:style>
  <w:style w:type="character" w:styleId="IntenseEmphasis">
    <w:name w:val="Intense Emphasis"/>
    <w:basedOn w:val="DefaultParagraphFont"/>
    <w:uiPriority w:val="21"/>
    <w:qFormat/>
    <w:rsid w:val="007B6E87"/>
    <w:rPr>
      <w:i/>
      <w:iCs/>
      <w:color w:val="0F4761" w:themeColor="accent1" w:themeShade="BF"/>
    </w:rPr>
  </w:style>
  <w:style w:type="paragraph" w:styleId="IntenseQuote">
    <w:name w:val="Intense Quote"/>
    <w:basedOn w:val="Normal"/>
    <w:next w:val="Normal"/>
    <w:link w:val="IntenseQuoteChar"/>
    <w:uiPriority w:val="30"/>
    <w:qFormat/>
    <w:rsid w:val="007B6E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6E87"/>
    <w:rPr>
      <w:i/>
      <w:iCs/>
      <w:color w:val="0F4761" w:themeColor="accent1" w:themeShade="BF"/>
    </w:rPr>
  </w:style>
  <w:style w:type="character" w:styleId="IntenseReference">
    <w:name w:val="Intense Reference"/>
    <w:basedOn w:val="DefaultParagraphFont"/>
    <w:uiPriority w:val="32"/>
    <w:qFormat/>
    <w:rsid w:val="007B6E87"/>
    <w:rPr>
      <w:b/>
      <w:bCs/>
      <w:smallCaps/>
      <w:color w:val="0F4761" w:themeColor="accent1" w:themeShade="BF"/>
      <w:spacing w:val="5"/>
    </w:rPr>
  </w:style>
  <w:style w:type="paragraph" w:styleId="Footer">
    <w:name w:val="footer"/>
    <w:basedOn w:val="Normal"/>
    <w:link w:val="FooterChar"/>
    <w:uiPriority w:val="99"/>
    <w:unhideWhenUsed/>
    <w:rsid w:val="00345355"/>
    <w:pPr>
      <w:tabs>
        <w:tab w:val="center" w:pos="4513"/>
        <w:tab w:val="right" w:pos="9026"/>
      </w:tabs>
    </w:pPr>
  </w:style>
  <w:style w:type="character" w:customStyle="1" w:styleId="FooterChar">
    <w:name w:val="Footer Char"/>
    <w:basedOn w:val="DefaultParagraphFont"/>
    <w:link w:val="Footer"/>
    <w:uiPriority w:val="99"/>
    <w:rsid w:val="00345355"/>
  </w:style>
  <w:style w:type="character" w:styleId="PageNumber">
    <w:name w:val="page number"/>
    <w:basedOn w:val="DefaultParagraphFont"/>
    <w:uiPriority w:val="99"/>
    <w:semiHidden/>
    <w:unhideWhenUsed/>
    <w:rsid w:val="00345355"/>
  </w:style>
  <w:style w:type="paragraph" w:styleId="Revision">
    <w:name w:val="Revision"/>
    <w:hidden/>
    <w:uiPriority w:val="99"/>
    <w:semiHidden/>
    <w:rsid w:val="000F27FF"/>
  </w:style>
  <w:style w:type="character" w:styleId="CommentReference">
    <w:name w:val="annotation reference"/>
    <w:basedOn w:val="DefaultParagraphFont"/>
    <w:uiPriority w:val="99"/>
    <w:semiHidden/>
    <w:unhideWhenUsed/>
    <w:rsid w:val="00BE5CE8"/>
    <w:rPr>
      <w:sz w:val="16"/>
      <w:szCs w:val="16"/>
    </w:rPr>
  </w:style>
  <w:style w:type="paragraph" w:styleId="CommentText">
    <w:name w:val="annotation text"/>
    <w:basedOn w:val="Normal"/>
    <w:link w:val="CommentTextChar"/>
    <w:uiPriority w:val="99"/>
    <w:unhideWhenUsed/>
    <w:rsid w:val="00BE5CE8"/>
    <w:rPr>
      <w:sz w:val="20"/>
      <w:szCs w:val="20"/>
    </w:rPr>
  </w:style>
  <w:style w:type="character" w:customStyle="1" w:styleId="CommentTextChar">
    <w:name w:val="Comment Text Char"/>
    <w:basedOn w:val="DefaultParagraphFont"/>
    <w:link w:val="CommentText"/>
    <w:uiPriority w:val="99"/>
    <w:rsid w:val="00BE5CE8"/>
    <w:rPr>
      <w:sz w:val="20"/>
      <w:szCs w:val="20"/>
    </w:rPr>
  </w:style>
  <w:style w:type="paragraph" w:styleId="CommentSubject">
    <w:name w:val="annotation subject"/>
    <w:basedOn w:val="CommentText"/>
    <w:next w:val="CommentText"/>
    <w:link w:val="CommentSubjectChar"/>
    <w:uiPriority w:val="99"/>
    <w:semiHidden/>
    <w:unhideWhenUsed/>
    <w:rsid w:val="00BE5CE8"/>
    <w:rPr>
      <w:b/>
      <w:bCs/>
    </w:rPr>
  </w:style>
  <w:style w:type="character" w:customStyle="1" w:styleId="CommentSubjectChar">
    <w:name w:val="Comment Subject Char"/>
    <w:basedOn w:val="CommentTextChar"/>
    <w:link w:val="CommentSubject"/>
    <w:uiPriority w:val="99"/>
    <w:semiHidden/>
    <w:rsid w:val="00BE5CE8"/>
    <w:rPr>
      <w:b/>
      <w:bCs/>
      <w:sz w:val="20"/>
      <w:szCs w:val="20"/>
    </w:rPr>
  </w:style>
  <w:style w:type="character" w:styleId="Hyperlink">
    <w:name w:val="Hyperlink"/>
    <w:basedOn w:val="DefaultParagraphFont"/>
    <w:uiPriority w:val="99"/>
    <w:unhideWhenUsed/>
    <w:rsid w:val="00A90596"/>
    <w:rPr>
      <w:color w:val="467886" w:themeColor="hyperlink"/>
      <w:u w:val="single"/>
    </w:rPr>
  </w:style>
  <w:style w:type="character" w:styleId="UnresolvedMention">
    <w:name w:val="Unresolved Mention"/>
    <w:basedOn w:val="DefaultParagraphFont"/>
    <w:uiPriority w:val="99"/>
    <w:semiHidden/>
    <w:unhideWhenUsed/>
    <w:rsid w:val="00C328F6"/>
    <w:rPr>
      <w:color w:val="605E5C"/>
      <w:shd w:val="clear" w:color="auto" w:fill="E1DFDD"/>
    </w:rPr>
  </w:style>
  <w:style w:type="paragraph" w:styleId="BalloonText">
    <w:name w:val="Balloon Text"/>
    <w:basedOn w:val="Normal"/>
    <w:link w:val="BalloonTextChar"/>
    <w:uiPriority w:val="99"/>
    <w:semiHidden/>
    <w:unhideWhenUsed/>
    <w:rsid w:val="000A4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92E"/>
    <w:rPr>
      <w:rFonts w:ascii="Segoe UI" w:hAnsi="Segoe UI" w:cs="Segoe UI"/>
      <w:sz w:val="18"/>
      <w:szCs w:val="18"/>
    </w:rPr>
  </w:style>
  <w:style w:type="character" w:styleId="FollowedHyperlink">
    <w:name w:val="FollowedHyperlink"/>
    <w:basedOn w:val="DefaultParagraphFont"/>
    <w:uiPriority w:val="99"/>
    <w:semiHidden/>
    <w:unhideWhenUsed/>
    <w:rsid w:val="002F1521"/>
    <w:rPr>
      <w:color w:val="96607D" w:themeColor="followedHyperlink"/>
      <w:u w:val="single"/>
    </w:rPr>
  </w:style>
  <w:style w:type="paragraph" w:styleId="Header">
    <w:name w:val="header"/>
    <w:basedOn w:val="Normal"/>
    <w:link w:val="HeaderChar"/>
    <w:uiPriority w:val="99"/>
    <w:semiHidden/>
    <w:unhideWhenUsed/>
    <w:rsid w:val="009918D6"/>
    <w:pPr>
      <w:tabs>
        <w:tab w:val="center" w:pos="4513"/>
        <w:tab w:val="right" w:pos="9026"/>
      </w:tabs>
    </w:pPr>
  </w:style>
  <w:style w:type="character" w:customStyle="1" w:styleId="HeaderChar">
    <w:name w:val="Header Char"/>
    <w:basedOn w:val="DefaultParagraphFont"/>
    <w:link w:val="Header"/>
    <w:uiPriority w:val="99"/>
    <w:semiHidden/>
    <w:rsid w:val="009918D6"/>
  </w:style>
  <w:style w:type="paragraph" w:styleId="NormalWeb">
    <w:name w:val="Normal (Web)"/>
    <w:basedOn w:val="Normal"/>
    <w:uiPriority w:val="99"/>
    <w:semiHidden/>
    <w:unhideWhenUsed/>
    <w:rsid w:val="005E640E"/>
    <w:pPr>
      <w:spacing w:before="100" w:beforeAutospacing="1" w:after="100" w:afterAutospacing="1"/>
    </w:pPr>
    <w:rPr>
      <w:rFonts w:ascii="Times New Roman" w:eastAsia="Times New Roman" w:hAnsi="Times New Roman" w:cs="Times New Roman"/>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1060">
      <w:bodyDiv w:val="1"/>
      <w:marLeft w:val="0"/>
      <w:marRight w:val="0"/>
      <w:marTop w:val="0"/>
      <w:marBottom w:val="0"/>
      <w:divBdr>
        <w:top w:val="none" w:sz="0" w:space="0" w:color="auto"/>
        <w:left w:val="none" w:sz="0" w:space="0" w:color="auto"/>
        <w:bottom w:val="none" w:sz="0" w:space="0" w:color="auto"/>
        <w:right w:val="none" w:sz="0" w:space="0" w:color="auto"/>
      </w:divBdr>
      <w:divsChild>
        <w:div w:id="83111537">
          <w:marLeft w:val="864"/>
          <w:marRight w:val="0"/>
          <w:marTop w:val="100"/>
          <w:marBottom w:val="0"/>
          <w:divBdr>
            <w:top w:val="none" w:sz="0" w:space="0" w:color="auto"/>
            <w:left w:val="none" w:sz="0" w:space="0" w:color="auto"/>
            <w:bottom w:val="none" w:sz="0" w:space="0" w:color="auto"/>
            <w:right w:val="none" w:sz="0" w:space="0" w:color="auto"/>
          </w:divBdr>
        </w:div>
        <w:div w:id="262880747">
          <w:marLeft w:val="864"/>
          <w:marRight w:val="0"/>
          <w:marTop w:val="100"/>
          <w:marBottom w:val="0"/>
          <w:divBdr>
            <w:top w:val="none" w:sz="0" w:space="0" w:color="auto"/>
            <w:left w:val="none" w:sz="0" w:space="0" w:color="auto"/>
            <w:bottom w:val="none" w:sz="0" w:space="0" w:color="auto"/>
            <w:right w:val="none" w:sz="0" w:space="0" w:color="auto"/>
          </w:divBdr>
        </w:div>
        <w:div w:id="357394517">
          <w:marLeft w:val="864"/>
          <w:marRight w:val="0"/>
          <w:marTop w:val="100"/>
          <w:marBottom w:val="0"/>
          <w:divBdr>
            <w:top w:val="none" w:sz="0" w:space="0" w:color="auto"/>
            <w:left w:val="none" w:sz="0" w:space="0" w:color="auto"/>
            <w:bottom w:val="none" w:sz="0" w:space="0" w:color="auto"/>
            <w:right w:val="none" w:sz="0" w:space="0" w:color="auto"/>
          </w:divBdr>
        </w:div>
        <w:div w:id="827523459">
          <w:marLeft w:val="446"/>
          <w:marRight w:val="0"/>
          <w:marTop w:val="100"/>
          <w:marBottom w:val="0"/>
          <w:divBdr>
            <w:top w:val="none" w:sz="0" w:space="0" w:color="auto"/>
            <w:left w:val="none" w:sz="0" w:space="0" w:color="auto"/>
            <w:bottom w:val="none" w:sz="0" w:space="0" w:color="auto"/>
            <w:right w:val="none" w:sz="0" w:space="0" w:color="auto"/>
          </w:divBdr>
        </w:div>
        <w:div w:id="835264646">
          <w:marLeft w:val="864"/>
          <w:marRight w:val="0"/>
          <w:marTop w:val="100"/>
          <w:marBottom w:val="0"/>
          <w:divBdr>
            <w:top w:val="none" w:sz="0" w:space="0" w:color="auto"/>
            <w:left w:val="none" w:sz="0" w:space="0" w:color="auto"/>
            <w:bottom w:val="none" w:sz="0" w:space="0" w:color="auto"/>
            <w:right w:val="none" w:sz="0" w:space="0" w:color="auto"/>
          </w:divBdr>
        </w:div>
        <w:div w:id="939023703">
          <w:marLeft w:val="864"/>
          <w:marRight w:val="0"/>
          <w:marTop w:val="100"/>
          <w:marBottom w:val="0"/>
          <w:divBdr>
            <w:top w:val="none" w:sz="0" w:space="0" w:color="auto"/>
            <w:left w:val="none" w:sz="0" w:space="0" w:color="auto"/>
            <w:bottom w:val="none" w:sz="0" w:space="0" w:color="auto"/>
            <w:right w:val="none" w:sz="0" w:space="0" w:color="auto"/>
          </w:divBdr>
        </w:div>
        <w:div w:id="1161040365">
          <w:marLeft w:val="446"/>
          <w:marRight w:val="0"/>
          <w:marTop w:val="200"/>
          <w:marBottom w:val="0"/>
          <w:divBdr>
            <w:top w:val="none" w:sz="0" w:space="0" w:color="auto"/>
            <w:left w:val="none" w:sz="0" w:space="0" w:color="auto"/>
            <w:bottom w:val="none" w:sz="0" w:space="0" w:color="auto"/>
            <w:right w:val="none" w:sz="0" w:space="0" w:color="auto"/>
          </w:divBdr>
        </w:div>
        <w:div w:id="1164778760">
          <w:marLeft w:val="864"/>
          <w:marRight w:val="0"/>
          <w:marTop w:val="100"/>
          <w:marBottom w:val="0"/>
          <w:divBdr>
            <w:top w:val="none" w:sz="0" w:space="0" w:color="auto"/>
            <w:left w:val="none" w:sz="0" w:space="0" w:color="auto"/>
            <w:bottom w:val="none" w:sz="0" w:space="0" w:color="auto"/>
            <w:right w:val="none" w:sz="0" w:space="0" w:color="auto"/>
          </w:divBdr>
        </w:div>
        <w:div w:id="1194727560">
          <w:marLeft w:val="864"/>
          <w:marRight w:val="0"/>
          <w:marTop w:val="100"/>
          <w:marBottom w:val="0"/>
          <w:divBdr>
            <w:top w:val="none" w:sz="0" w:space="0" w:color="auto"/>
            <w:left w:val="none" w:sz="0" w:space="0" w:color="auto"/>
            <w:bottom w:val="none" w:sz="0" w:space="0" w:color="auto"/>
            <w:right w:val="none" w:sz="0" w:space="0" w:color="auto"/>
          </w:divBdr>
        </w:div>
        <w:div w:id="1346441748">
          <w:marLeft w:val="864"/>
          <w:marRight w:val="0"/>
          <w:marTop w:val="100"/>
          <w:marBottom w:val="0"/>
          <w:divBdr>
            <w:top w:val="none" w:sz="0" w:space="0" w:color="auto"/>
            <w:left w:val="none" w:sz="0" w:space="0" w:color="auto"/>
            <w:bottom w:val="none" w:sz="0" w:space="0" w:color="auto"/>
            <w:right w:val="none" w:sz="0" w:space="0" w:color="auto"/>
          </w:divBdr>
        </w:div>
        <w:div w:id="1447968181">
          <w:marLeft w:val="864"/>
          <w:marRight w:val="0"/>
          <w:marTop w:val="100"/>
          <w:marBottom w:val="0"/>
          <w:divBdr>
            <w:top w:val="none" w:sz="0" w:space="0" w:color="auto"/>
            <w:left w:val="none" w:sz="0" w:space="0" w:color="auto"/>
            <w:bottom w:val="none" w:sz="0" w:space="0" w:color="auto"/>
            <w:right w:val="none" w:sz="0" w:space="0" w:color="auto"/>
          </w:divBdr>
        </w:div>
        <w:div w:id="1661422666">
          <w:marLeft w:val="864"/>
          <w:marRight w:val="0"/>
          <w:marTop w:val="100"/>
          <w:marBottom w:val="0"/>
          <w:divBdr>
            <w:top w:val="none" w:sz="0" w:space="0" w:color="auto"/>
            <w:left w:val="none" w:sz="0" w:space="0" w:color="auto"/>
            <w:bottom w:val="none" w:sz="0" w:space="0" w:color="auto"/>
            <w:right w:val="none" w:sz="0" w:space="0" w:color="auto"/>
          </w:divBdr>
        </w:div>
      </w:divsChild>
    </w:div>
    <w:div w:id="1579091950">
      <w:bodyDiv w:val="1"/>
      <w:marLeft w:val="0"/>
      <w:marRight w:val="0"/>
      <w:marTop w:val="0"/>
      <w:marBottom w:val="0"/>
      <w:divBdr>
        <w:top w:val="none" w:sz="0" w:space="0" w:color="auto"/>
        <w:left w:val="none" w:sz="0" w:space="0" w:color="auto"/>
        <w:bottom w:val="none" w:sz="0" w:space="0" w:color="auto"/>
        <w:right w:val="none" w:sz="0" w:space="0" w:color="auto"/>
      </w:divBdr>
      <w:divsChild>
        <w:div w:id="164327920">
          <w:marLeft w:val="864"/>
          <w:marRight w:val="0"/>
          <w:marTop w:val="100"/>
          <w:marBottom w:val="0"/>
          <w:divBdr>
            <w:top w:val="none" w:sz="0" w:space="0" w:color="auto"/>
            <w:left w:val="none" w:sz="0" w:space="0" w:color="auto"/>
            <w:bottom w:val="none" w:sz="0" w:space="0" w:color="auto"/>
            <w:right w:val="none" w:sz="0" w:space="0" w:color="auto"/>
          </w:divBdr>
        </w:div>
        <w:div w:id="594287436">
          <w:marLeft w:val="864"/>
          <w:marRight w:val="0"/>
          <w:marTop w:val="100"/>
          <w:marBottom w:val="0"/>
          <w:divBdr>
            <w:top w:val="none" w:sz="0" w:space="0" w:color="auto"/>
            <w:left w:val="none" w:sz="0" w:space="0" w:color="auto"/>
            <w:bottom w:val="none" w:sz="0" w:space="0" w:color="auto"/>
            <w:right w:val="none" w:sz="0" w:space="0" w:color="auto"/>
          </w:divBdr>
        </w:div>
        <w:div w:id="870580241">
          <w:marLeft w:val="446"/>
          <w:marRight w:val="0"/>
          <w:marTop w:val="200"/>
          <w:marBottom w:val="0"/>
          <w:divBdr>
            <w:top w:val="none" w:sz="0" w:space="0" w:color="auto"/>
            <w:left w:val="none" w:sz="0" w:space="0" w:color="auto"/>
            <w:bottom w:val="none" w:sz="0" w:space="0" w:color="auto"/>
            <w:right w:val="none" w:sz="0" w:space="0" w:color="auto"/>
          </w:divBdr>
        </w:div>
        <w:div w:id="970289588">
          <w:marLeft w:val="864"/>
          <w:marRight w:val="0"/>
          <w:marTop w:val="100"/>
          <w:marBottom w:val="0"/>
          <w:divBdr>
            <w:top w:val="none" w:sz="0" w:space="0" w:color="auto"/>
            <w:left w:val="none" w:sz="0" w:space="0" w:color="auto"/>
            <w:bottom w:val="none" w:sz="0" w:space="0" w:color="auto"/>
            <w:right w:val="none" w:sz="0" w:space="0" w:color="auto"/>
          </w:divBdr>
        </w:div>
        <w:div w:id="1521238607">
          <w:marLeft w:val="864"/>
          <w:marRight w:val="0"/>
          <w:marTop w:val="100"/>
          <w:marBottom w:val="0"/>
          <w:divBdr>
            <w:top w:val="none" w:sz="0" w:space="0" w:color="auto"/>
            <w:left w:val="none" w:sz="0" w:space="0" w:color="auto"/>
            <w:bottom w:val="none" w:sz="0" w:space="0" w:color="auto"/>
            <w:right w:val="none" w:sz="0" w:space="0" w:color="auto"/>
          </w:divBdr>
        </w:div>
        <w:div w:id="1696878760">
          <w:marLeft w:val="864"/>
          <w:marRight w:val="0"/>
          <w:marTop w:val="100"/>
          <w:marBottom w:val="0"/>
          <w:divBdr>
            <w:top w:val="none" w:sz="0" w:space="0" w:color="auto"/>
            <w:left w:val="none" w:sz="0" w:space="0" w:color="auto"/>
            <w:bottom w:val="none" w:sz="0" w:space="0" w:color="auto"/>
            <w:right w:val="none" w:sz="0" w:space="0" w:color="auto"/>
          </w:divBdr>
        </w:div>
        <w:div w:id="1706249891">
          <w:marLeft w:val="864"/>
          <w:marRight w:val="0"/>
          <w:marTop w:val="100"/>
          <w:marBottom w:val="0"/>
          <w:divBdr>
            <w:top w:val="none" w:sz="0" w:space="0" w:color="auto"/>
            <w:left w:val="none" w:sz="0" w:space="0" w:color="auto"/>
            <w:bottom w:val="none" w:sz="0" w:space="0" w:color="auto"/>
            <w:right w:val="none" w:sz="0" w:space="0" w:color="auto"/>
          </w:divBdr>
        </w:div>
        <w:div w:id="1790776417">
          <w:marLeft w:val="864"/>
          <w:marRight w:val="0"/>
          <w:marTop w:val="100"/>
          <w:marBottom w:val="0"/>
          <w:divBdr>
            <w:top w:val="none" w:sz="0" w:space="0" w:color="auto"/>
            <w:left w:val="none" w:sz="0" w:space="0" w:color="auto"/>
            <w:bottom w:val="none" w:sz="0" w:space="0" w:color="auto"/>
            <w:right w:val="none" w:sz="0" w:space="0" w:color="auto"/>
          </w:divBdr>
        </w:div>
        <w:div w:id="1850757530">
          <w:marLeft w:val="864"/>
          <w:marRight w:val="0"/>
          <w:marTop w:val="100"/>
          <w:marBottom w:val="0"/>
          <w:divBdr>
            <w:top w:val="none" w:sz="0" w:space="0" w:color="auto"/>
            <w:left w:val="none" w:sz="0" w:space="0" w:color="auto"/>
            <w:bottom w:val="none" w:sz="0" w:space="0" w:color="auto"/>
            <w:right w:val="none" w:sz="0" w:space="0" w:color="auto"/>
          </w:divBdr>
        </w:div>
        <w:div w:id="2099785381">
          <w:marLeft w:val="446"/>
          <w:marRight w:val="0"/>
          <w:marTop w:val="200"/>
          <w:marBottom w:val="0"/>
          <w:divBdr>
            <w:top w:val="none" w:sz="0" w:space="0" w:color="auto"/>
            <w:left w:val="none" w:sz="0" w:space="0" w:color="auto"/>
            <w:bottom w:val="none" w:sz="0" w:space="0" w:color="auto"/>
            <w:right w:val="none" w:sz="0" w:space="0" w:color="auto"/>
          </w:divBdr>
        </w:div>
      </w:divsChild>
    </w:div>
    <w:div w:id="20890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ifrs.org/projects/pipeline-projec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aahq.org/Research/Journals/Accounting-Horizon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frs.org/news-and-events/new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frs.org/content/dam/ifrs/resources-for/academics/events/jan-2024-eaa-iasb-intangible-assets.pdf" TargetMode="External"/><Relationship Id="rId20" Type="http://schemas.openxmlformats.org/officeDocument/2006/relationships/hyperlink" Target="https://www.ifrs.org/issued-standards/list-of-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frs.org/projects/work-plan/intangible-asse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frs.org/use-around-the-world/use-of-ifrs-standards-by-jurisdi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rs.org/projects/pipeline-projects/" TargetMode="External"/><Relationship Id="rId22" Type="http://schemas.openxmlformats.org/officeDocument/2006/relationships/hyperlink" Target="mailto:baudot@h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1b264de-5d9c-41da-88bf-d3d4dfea6693" xsi:nil="true"/>
    <lcf76f155ced4ddcb4097134ff3c332f xmlns="dd00f8fd-3af1-4dac-a049-efd365da1926">
      <Terms xmlns="http://schemas.microsoft.com/office/infopath/2007/PartnerControls"/>
    </lcf76f155ced4ddcb4097134ff3c332f>
    <SharedWithUsers xmlns="e1b264de-5d9c-41da-88bf-d3d4dfea6693">
      <UserInfo>
        <DisplayName>Tarca, Ann</DisplayName>
        <AccountId>17</AccountId>
        <AccountType/>
      </UserInfo>
      <UserInfo>
        <DisplayName>Simpson, Ana</DisplayName>
        <AccountId>13</AccountId>
        <AccountType/>
      </UserInfo>
      <UserInfo>
        <DisplayName>Alana Carrasco</DisplayName>
        <AccountId>23</AccountId>
        <AccountType/>
      </UserInfo>
      <UserInfo>
        <DisplayName>Pillai, Mani</DisplayName>
        <AccountId>109</AccountId>
        <AccountType/>
      </UserInfo>
      <UserInfo>
        <DisplayName>Barckow, Andreas</DisplayName>
        <AccountId>169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53B74C4E7FDB4EA973A90B11CB0F3A" ma:contentTypeVersion="17" ma:contentTypeDescription="Create a new document." ma:contentTypeScope="" ma:versionID="533e7a566eae0cb31bee86552f7fef8d">
  <xsd:schema xmlns:xsd="http://www.w3.org/2001/XMLSchema" xmlns:xs="http://www.w3.org/2001/XMLSchema" xmlns:p="http://schemas.microsoft.com/office/2006/metadata/properties" xmlns:ns2="dd00f8fd-3af1-4dac-a049-efd365da1926" xmlns:ns3="e1b264de-5d9c-41da-88bf-d3d4dfea6693" targetNamespace="http://schemas.microsoft.com/office/2006/metadata/properties" ma:root="true" ma:fieldsID="43c83c85fa098de80f25a6e0fd639996" ns2:_="" ns3:_="">
    <xsd:import namespace="dd00f8fd-3af1-4dac-a049-efd365da1926"/>
    <xsd:import namespace="e1b264de-5d9c-41da-88bf-d3d4dfea6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0f8fd-3af1-4dac-a049-efd365da1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2f0513-a2ef-49c9-8f64-129a7e78443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264de-5d9c-41da-88bf-d3d4dfea66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65f1a0b-1238-43f3-b00c-7be6fe68d8b3}" ma:internalName="TaxCatchAll" ma:showField="CatchAllData" ma:web="e1b264de-5d9c-41da-88bf-d3d4dfea6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F816E-3487-4F23-9562-F8258513F37D}">
  <ds:schemaRefs>
    <ds:schemaRef ds:uri="http://schemas.microsoft.com/sharepoint/v3/contenttype/forms"/>
  </ds:schemaRefs>
</ds:datastoreItem>
</file>

<file path=customXml/itemProps2.xml><?xml version="1.0" encoding="utf-8"?>
<ds:datastoreItem xmlns:ds="http://schemas.openxmlformats.org/officeDocument/2006/customXml" ds:itemID="{74FAB5CF-E6B0-4C7C-A60B-5F705CFD7D72}">
  <ds:schemaRefs>
    <ds:schemaRef ds:uri="http://schemas.openxmlformats.org/officeDocument/2006/bibliography"/>
  </ds:schemaRefs>
</ds:datastoreItem>
</file>

<file path=customXml/itemProps3.xml><?xml version="1.0" encoding="utf-8"?>
<ds:datastoreItem xmlns:ds="http://schemas.openxmlformats.org/officeDocument/2006/customXml" ds:itemID="{C1992E11-FD4C-4C5B-B7D3-42AABF99BF0D}">
  <ds:schemaRefs>
    <ds:schemaRef ds:uri="http://schemas.microsoft.com/office/2006/metadata/properties"/>
    <ds:schemaRef ds:uri="http://schemas.microsoft.com/office/infopath/2007/PartnerControls"/>
    <ds:schemaRef ds:uri="e1b264de-5d9c-41da-88bf-d3d4dfea6693"/>
    <ds:schemaRef ds:uri="dd00f8fd-3af1-4dac-a049-efd365da1926"/>
  </ds:schemaRefs>
</ds:datastoreItem>
</file>

<file path=customXml/itemProps4.xml><?xml version="1.0" encoding="utf-8"?>
<ds:datastoreItem xmlns:ds="http://schemas.openxmlformats.org/officeDocument/2006/customXml" ds:itemID="{FC06F7E5-95F2-4C32-86C5-B68301A5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0f8fd-3af1-4dac-a049-efd365da1926"/>
    <ds:schemaRef ds:uri="e1b264de-5d9c-41da-88bf-d3d4dfea6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Tarca, Ann</dc:creator>
  <cp:keywords/>
  <dc:description/>
  <cp:lastModifiedBy>Jenny Tucker</cp:lastModifiedBy>
  <cp:revision>3</cp:revision>
  <cp:lastPrinted>2024-03-11T21:29:00Z</cp:lastPrinted>
  <dcterms:created xsi:type="dcterms:W3CDTF">2024-05-29T22:10:00Z</dcterms:created>
  <dcterms:modified xsi:type="dcterms:W3CDTF">2024-05-29T22:11:00Z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0x010100A853B74C4E7FDB4EA973A90B11CB0F3A</vt:lpwstr>
  </property>
  <property fmtid="{D5CDD505-2E9C-101B-9397-08002B2CF9AE}" pid="3" name="MediaServiceImageTags">
    <vt:lpwstr/>
  </property>
</Properties>
</file>